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C0" w:rsidRDefault="00B249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 xml:space="preserve">Доклад </w:t>
      </w:r>
    </w:p>
    <w:p w:rsidR="00E573C0" w:rsidRDefault="00B249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состоянии и развитии конкурентной среды на рынках товаров, работ</w:t>
      </w:r>
    </w:p>
    <w:p w:rsidR="00E573C0" w:rsidRDefault="00B249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 услуг Анжеро-Судженского городского округа </w:t>
      </w:r>
    </w:p>
    <w:p w:rsidR="00E573C0" w:rsidRDefault="00B249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2025 год</w:t>
      </w:r>
    </w:p>
    <w:bookmarkEnd w:id="0"/>
    <w:p w:rsidR="00E573C0" w:rsidRDefault="00E573C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01 августа 2019 года между Правительством Кузбасса и администрацией Анжеро-Судженского городского округа заключено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Соглашение о внедрении стандарта развития конкуренции в субъектах Российской Федерации в Кемеровской области - Кузбассе.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основным задачам по развитию конкуренции в Анжеро-Судженском городском округе относятся: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создание благоприятных организационно-прав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овых и экономических условий для устойчивого развития конкуренции;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содействие развитию конкуренции в рамках внедрения стандарта развития конкуренции в субъектах Российской Федерации в Кемеровской области – Кузбассе;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снижение или устранение правовых, ад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министративных, финансовых барьеров для хозяйствующих субъектов;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повышение уровня информационной открытости деятельности администрации Анжеро-Судженского городского округа.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Важным критерием развития конкуренции </w:t>
      </w:r>
      <w:r>
        <w:rPr>
          <w:rFonts w:ascii="Times New Roman" w:hAnsi="Times New Roman" w:cs="Times New Roman"/>
          <w:color w:val="000000"/>
          <w:sz w:val="28"/>
          <w:szCs w:val="28"/>
        </w:rPr>
        <w:t>Анжеро-Судженского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городского округа являет</w:t>
      </w:r>
      <w:r>
        <w:rPr>
          <w:rFonts w:ascii="Times New Roman" w:hAnsi="Times New Roman"/>
          <w:color w:val="000000"/>
          <w:sz w:val="28"/>
          <w:szCs w:val="28"/>
        </w:rPr>
        <w:t xml:space="preserve">ся наличие достаточного количества хозяйствующих субъектов, в том числе субъектов малого бизнеса.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этом развитие малого и среднего предпринимательства является одним из определяющих факторов обеспечения эффективного и устойчивого развития экономики. Чи</w:t>
      </w:r>
      <w:r>
        <w:rPr>
          <w:rFonts w:ascii="Times New Roman" w:hAnsi="Times New Roman"/>
          <w:color w:val="000000"/>
          <w:sz w:val="28"/>
          <w:szCs w:val="28"/>
        </w:rPr>
        <w:t xml:space="preserve">сло субъектов малого и среднего предпринимательства по состоянию на </w:t>
      </w:r>
      <w:r>
        <w:rPr>
          <w:rFonts w:ascii="Times New Roman" w:hAnsi="Times New Roman"/>
          <w:b/>
          <w:color w:val="000000"/>
          <w:sz w:val="28"/>
          <w:szCs w:val="28"/>
        </w:rPr>
        <w:t>10.01.2026 г</w:t>
      </w:r>
      <w:r>
        <w:rPr>
          <w:rFonts w:ascii="Times New Roman" w:hAnsi="Times New Roman"/>
          <w:color w:val="000000"/>
          <w:sz w:val="28"/>
          <w:szCs w:val="28"/>
        </w:rPr>
        <w:t>. составляе</w:t>
      </w:r>
      <w:r>
        <w:rPr>
          <w:rFonts w:ascii="Times New Roman" w:hAnsi="Times New Roman"/>
          <w:sz w:val="28"/>
          <w:szCs w:val="28"/>
        </w:rPr>
        <w:t xml:space="preserve">т 1367 </w:t>
      </w:r>
      <w:r>
        <w:rPr>
          <w:rFonts w:ascii="Times New Roman" w:hAnsi="Times New Roman"/>
          <w:color w:val="000000"/>
          <w:sz w:val="28"/>
          <w:szCs w:val="28"/>
        </w:rPr>
        <w:t>единиц.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отчетный период осуществлен мониторинг состояния и развития конкурентной среды на товарных рынках Анжеро-Судженского городского округа.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pStyle w:val="a9"/>
        <w:numPr>
          <w:ilvl w:val="0"/>
          <w:numId w:val="2"/>
        </w:numPr>
        <w:spacing w:before="0" w:after="0"/>
        <w:ind w:left="720" w:hanging="360"/>
      </w:pPr>
      <w:r>
        <w:t>Результаты</w:t>
      </w:r>
      <w:r>
        <w:t xml:space="preserve"> мониторинга состояния и развития конкурентной среды на товарных рынках Анжеро-Судженского городского округа. </w:t>
      </w: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1.1 Рынок услуг дошкольного образования</w:t>
      </w:r>
    </w:p>
    <w:p w:rsidR="00E573C0" w:rsidRDefault="00E573C0">
      <w:pPr>
        <w:pStyle w:val="a5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E573C0" w:rsidRDefault="00B249E5">
      <w:pPr>
        <w:pStyle w:val="a5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Конкурентная среда рынка услуг дошкольного образования характеризуется значительным доминированием </w:t>
      </w:r>
      <w:r>
        <w:rPr>
          <w:rFonts w:eastAsia="Calibri"/>
          <w:color w:val="000000"/>
          <w:sz w:val="28"/>
          <w:szCs w:val="28"/>
        </w:rPr>
        <w:t>муниципальных образовательных учреждений.</w:t>
      </w:r>
    </w:p>
    <w:p w:rsidR="00E573C0" w:rsidRDefault="00B249E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31.12.2025 года в Анжеро-Судженском городском округе функционировало 26 муниципальных дошкольных образовательных организации и группа для детей дошкольного возраста в МКОУ «Школа-интернат № 18». По </w:t>
      </w:r>
      <w:r>
        <w:rPr>
          <w:color w:val="000000"/>
          <w:sz w:val="28"/>
          <w:szCs w:val="28"/>
        </w:rPr>
        <w:t>состоянию на 31.12.2025 года численность воспитанников составляет 2340 человек.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низкая рентабельность частных образовательных организаций при высоком уровне первоначальных вложений в развитие бизнеса;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сложности, связанные с </w:t>
      </w:r>
      <w:r>
        <w:rPr>
          <w:rFonts w:ascii="Times New Roman" w:hAnsi="Times New Roman" w:cs="Times New Roman"/>
          <w:color w:val="000000"/>
          <w:sz w:val="28"/>
          <w:szCs w:val="28"/>
        </w:rPr>
        <w:t>подбором помещений (арендой или выкупом), а также с соблюдением нормативных требований к этим помещениям;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низкий уровень доходов населения, как следствие, недостаточная востребованность данного рода учреждений.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rFonts w:cs="Times New Roman"/>
          <w:color w:val="000000"/>
        </w:rPr>
      </w:pPr>
      <w:r>
        <w:rPr>
          <w:color w:val="000000"/>
        </w:rPr>
        <w:t>1.2 Рынок услуг дополнительного образовани</w:t>
      </w:r>
      <w:r>
        <w:rPr>
          <w:color w:val="000000"/>
        </w:rPr>
        <w:t>я детей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В 2025 году на территории Анжеро-Судженского городского округа функционировало 9 учреждений дополнительного образования, подведомственных управлению образования и управлению культуры, по следующим направлениям: естественно - научное, социально-пед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агогическое, техническое, художественное,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</w:rPr>
        <w:t>туристко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</w:rPr>
        <w:t>-краеведческое, физкультурно-спортивное.</w:t>
      </w:r>
    </w:p>
    <w:p w:rsidR="00E573C0" w:rsidRDefault="00B249E5">
      <w:pPr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Дополнительное образование даёт ребёнку возможность развить творческие способности, приобрести дополнительные знания, умения и навыки. Отдавая своего ребёнка в какой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-либо кружок, спортивную секцию или музыкальную школу, родители предоставляют ему возможность дополнительного развития. Дополнительное образование детей осуществляется в образовательных учреждениях дополнительного образования детей, образовательных учрежде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ниях, реализующих основные образовательные программы.</w:t>
      </w:r>
    </w:p>
    <w:p w:rsidR="00E573C0" w:rsidRDefault="00B249E5">
      <w:pPr>
        <w:pStyle w:val="a8"/>
        <w:suppressAutoHyphens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Численность обучающихся на 30.12.2025, получающих услуги по дополнительному образованию в организациях дополнительного образования, общеобразовательных учреждениях, составила 10631 человек. Общая числен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ность детей в возрасте от 5 до 18 лет в Анжеро-Судженском городском округе 11681 человек. </w:t>
      </w:r>
    </w:p>
    <w:p w:rsidR="00E573C0" w:rsidRDefault="00B249E5">
      <w:pPr>
        <w:pStyle w:val="a5"/>
        <w:suppressAutoHyphens/>
        <w:spacing w:before="0" w:beforeAutospacing="0" w:after="0" w:afterAutospacing="0"/>
        <w:ind w:firstLine="709"/>
        <w:contextualSpacing/>
        <w:jc w:val="both"/>
        <w:rPr>
          <w:rFonts w:eastAsia="SimSun"/>
          <w:color w:val="000000"/>
          <w:sz w:val="28"/>
          <w:szCs w:val="28"/>
          <w:lang w:eastAsia="en-US"/>
        </w:rPr>
      </w:pPr>
      <w:r>
        <w:rPr>
          <w:rFonts w:eastAsia="SimSun"/>
          <w:color w:val="000000"/>
          <w:sz w:val="28"/>
          <w:szCs w:val="28"/>
          <w:lang w:eastAsia="en-US"/>
        </w:rPr>
        <w:t>Основными задачами учреждения являются: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охрана жизни и укрепление здоровья детей;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обеспечение интеллектуального, личностного и физического развития ребенка;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</w:t>
      </w:r>
      <w:r>
        <w:rPr>
          <w:rFonts w:ascii="Times New Roman" w:hAnsi="Times New Roman" w:cs="Times New Roman"/>
          <w:color w:val="000000"/>
          <w:sz w:val="28"/>
          <w:szCs w:val="28"/>
        </w:rPr>
        <w:t>уществление необходимой коррекции отклонений в развитии ребенка;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приобщение детей к общечеловеческим ценностям;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взаимодействие с семьей для обеспечения полноценного развития ребенка.</w:t>
      </w:r>
    </w:p>
    <w:p w:rsidR="00E573C0" w:rsidRDefault="00B249E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высокие требования к условиям реализации программ (СанПиН, помещения, кадры); </w:t>
      </w:r>
    </w:p>
    <w:p w:rsidR="00E573C0" w:rsidRDefault="00B249E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высокая стоимость аренды помещений.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1.3 Рынок услуг детского отдыха и оздоровления</w:t>
      </w:r>
    </w:p>
    <w:p w:rsidR="00E573C0" w:rsidRDefault="00E573C0">
      <w:pPr>
        <w:pStyle w:val="a5"/>
        <w:spacing w:before="0" w:beforeAutospacing="0" w:after="0" w:afterAutospacing="0"/>
        <w:ind w:firstLine="709"/>
        <w:jc w:val="both"/>
        <w:rPr>
          <w:rFonts w:eastAsia="SimSun"/>
          <w:color w:val="000000"/>
          <w:sz w:val="28"/>
          <w:szCs w:val="28"/>
          <w:lang w:eastAsia="en-US"/>
        </w:rPr>
      </w:pPr>
    </w:p>
    <w:p w:rsidR="00E573C0" w:rsidRDefault="00B249E5">
      <w:pPr>
        <w:pStyle w:val="a5"/>
        <w:spacing w:before="0" w:beforeAutospacing="0" w:after="0" w:afterAutospacing="0"/>
        <w:ind w:firstLine="709"/>
        <w:jc w:val="both"/>
        <w:rPr>
          <w:rFonts w:eastAsia="SimSun"/>
          <w:color w:val="000000"/>
          <w:sz w:val="28"/>
          <w:szCs w:val="28"/>
          <w:lang w:eastAsia="en-US"/>
        </w:rPr>
      </w:pPr>
      <w:r>
        <w:rPr>
          <w:rFonts w:eastAsia="SimSun"/>
          <w:color w:val="000000"/>
          <w:sz w:val="28"/>
          <w:szCs w:val="28"/>
          <w:lang w:eastAsia="en-US"/>
        </w:rPr>
        <w:t>В ходе проведения детской летней оздоровительной кампании в 2025 году на территории Анже</w:t>
      </w:r>
      <w:r>
        <w:rPr>
          <w:rFonts w:eastAsia="SimSun"/>
          <w:color w:val="000000"/>
          <w:sz w:val="28"/>
          <w:szCs w:val="28"/>
          <w:lang w:eastAsia="en-US"/>
        </w:rPr>
        <w:t xml:space="preserve">ро-Судженского городского округа функционировало 35 </w:t>
      </w:r>
      <w:r>
        <w:rPr>
          <w:rFonts w:eastAsia="SimSun"/>
          <w:color w:val="000000"/>
          <w:sz w:val="28"/>
          <w:szCs w:val="28"/>
          <w:lang w:eastAsia="en-US"/>
        </w:rPr>
        <w:lastRenderedPageBreak/>
        <w:t>организаций отдыха детей и их оздоровление: 3 загородных лагеря («Белая роща», Санаторий «</w:t>
      </w:r>
      <w:proofErr w:type="spellStart"/>
      <w:r>
        <w:rPr>
          <w:rFonts w:eastAsia="SimSun"/>
          <w:color w:val="000000"/>
          <w:sz w:val="28"/>
          <w:szCs w:val="28"/>
          <w:lang w:eastAsia="en-US"/>
        </w:rPr>
        <w:t>Анжерский</w:t>
      </w:r>
      <w:proofErr w:type="spellEnd"/>
      <w:r>
        <w:rPr>
          <w:rFonts w:eastAsia="SimSun"/>
          <w:color w:val="000000"/>
          <w:sz w:val="28"/>
          <w:szCs w:val="28"/>
          <w:lang w:eastAsia="en-US"/>
        </w:rPr>
        <w:t xml:space="preserve">», ИП Шинкарев С.А. лагерь №1); 18 лагерей с дневным пребыванием детей; 9 лагерей труда и отдыха </w:t>
      </w:r>
      <w:proofErr w:type="spellStart"/>
      <w:r>
        <w:rPr>
          <w:rFonts w:eastAsia="SimSun"/>
          <w:color w:val="000000"/>
          <w:sz w:val="28"/>
          <w:szCs w:val="28"/>
          <w:lang w:eastAsia="en-US"/>
        </w:rPr>
        <w:t>дя</w:t>
      </w:r>
      <w:proofErr w:type="spellEnd"/>
      <w:r>
        <w:rPr>
          <w:rFonts w:eastAsia="SimSun"/>
          <w:color w:val="000000"/>
          <w:sz w:val="28"/>
          <w:szCs w:val="28"/>
          <w:lang w:eastAsia="en-US"/>
        </w:rPr>
        <w:t xml:space="preserve"> подро</w:t>
      </w:r>
      <w:r>
        <w:rPr>
          <w:rFonts w:eastAsia="SimSun"/>
          <w:color w:val="000000"/>
          <w:sz w:val="28"/>
          <w:szCs w:val="28"/>
          <w:lang w:eastAsia="en-US"/>
        </w:rPr>
        <w:t>стков; 5 лагерей палаточного типа.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частные орг</w:t>
      </w:r>
      <w:r>
        <w:rPr>
          <w:rFonts w:ascii="Times New Roman" w:hAnsi="Times New Roman" w:cs="Times New Roman"/>
          <w:color w:val="000000"/>
          <w:sz w:val="28"/>
          <w:szCs w:val="28"/>
        </w:rPr>
        <w:t>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недостаточный уровень квалификации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педагогических, физкультурно-спортивных, 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дицинских и других специалистов, владеющих технологиями оздоровления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высокая себесто</w:t>
      </w:r>
      <w:r>
        <w:rPr>
          <w:rFonts w:ascii="Times New Roman" w:hAnsi="Times New Roman" w:cs="Times New Roman"/>
          <w:color w:val="000000"/>
          <w:sz w:val="28"/>
          <w:szCs w:val="28"/>
        </w:rPr>
        <w:t>имость услуг в условиях снижения платежеспособности населения приводит к вынужденному снижению стоимости услуг, что делает рынок услуг детского отдыха и оздоровления менее рентабельным.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1.4 Рынок медицинских услуг</w:t>
      </w:r>
    </w:p>
    <w:p w:rsidR="00E573C0" w:rsidRDefault="00E573C0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Анжеро-Судженском городском округе наб</w:t>
      </w:r>
      <w:r>
        <w:rPr>
          <w:rFonts w:ascii="Times New Roman" w:hAnsi="Times New Roman"/>
          <w:color w:val="000000"/>
          <w:sz w:val="28"/>
          <w:szCs w:val="28"/>
        </w:rPr>
        <w:t>людается увеличение числа негосударственных (немуниципальных) медицинских организаций. На территории городского округа осуществляют деятельность 9 стоматологических кабинетов, 4 частных медицинских клиники. Работает консультативный кабинет «Ваш доктор»,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нвитро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(прием анализов), «Импульс» (диагностика), ООО «Сибирское здоровье» (диагностика), Медицинский центр 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VITA</w:t>
      </w:r>
      <w:r>
        <w:rPr>
          <w:rFonts w:ascii="Times New Roman" w:hAnsi="Times New Roman"/>
          <w:color w:val="000000"/>
          <w:sz w:val="28"/>
          <w:szCs w:val="28"/>
        </w:rPr>
        <w:t>» (анализы, диагностика), МРТ Альянс Анжеро-Судженск (диагностика)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высокая стоимость современного лечебного, диагности</w:t>
      </w:r>
      <w:r>
        <w:rPr>
          <w:rFonts w:ascii="Times New Roman" w:hAnsi="Times New Roman"/>
          <w:color w:val="000000"/>
          <w:sz w:val="28"/>
          <w:szCs w:val="28"/>
        </w:rPr>
        <w:t>ческого, стерилизационного оборудования;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отсутствие свободных помещений (высокая арендная плата);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отсутствие квалифицированных кадров.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1.5. Рынок услуг розничной торговли лекарственными препаратами, медицинскими изделиями и сопутствующими товарами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состоянию на 01 января 2026 г. в Анжеро-Судженском городском округе действуют 16 аптечных сетей (51 объектов), осуществляющих розничную торговлю лекарственными препаратами, медицинскими изделиями и сопутствующими товарами, в том числе ГАУЗ КО АСГБ-8 объек</w:t>
      </w:r>
      <w:r>
        <w:rPr>
          <w:rFonts w:ascii="Times New Roman" w:hAnsi="Times New Roman" w:cs="Times New Roman"/>
          <w:color w:val="000000"/>
          <w:sz w:val="28"/>
          <w:szCs w:val="28"/>
        </w:rPr>
        <w:t>тов.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Рынок характеризуется высоким уровнем развития конкуренции.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Доля негосударственных аптечных организаций, осуществляющих розничную торговлю фармацевтической продукцией, в общем количестве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аптечных организаций, осуществляющих розничную торговлю фармацев</w:t>
      </w:r>
      <w:r>
        <w:rPr>
          <w:rFonts w:ascii="Times New Roman" w:hAnsi="Times New Roman" w:cs="Times New Roman"/>
          <w:color w:val="000000"/>
          <w:sz w:val="28"/>
          <w:szCs w:val="28"/>
        </w:rPr>
        <w:t>тической продукцией, составляет -85%.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оценке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представителей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бизнес -сообщества уровень конкуренции на данном рынке является высоким: 74% респондентов отметили высокий уровень. При этом 67% потребителей товаров, работ и услуг отмечают удовлетворённость в</w:t>
      </w:r>
      <w:r>
        <w:rPr>
          <w:rFonts w:ascii="Times New Roman" w:hAnsi="Times New Roman" w:cs="Times New Roman"/>
          <w:color w:val="000000"/>
          <w:sz w:val="28"/>
          <w:szCs w:val="28"/>
        </w:rPr>
        <w:t>озможностью выбора организаций на рынке.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осуществления деятельности на рынке услуг розничной торговли лекарственными препаратами, медицинскими изделиями и сопутствующими товарами административные барьеры отсутствуют. Руководителям аптечных сетей направ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ляется информация об обращениях граждан в открытии аптеки (в отдалённых районах города) и оказании помощи в поиске помещения.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наличие специфических требований к помещениям для размещения аптечных пунктов.</w:t>
      </w:r>
    </w:p>
    <w:p w:rsidR="00E573C0" w:rsidRDefault="00E573C0">
      <w:pPr>
        <w:pStyle w:val="a9"/>
        <w:spacing w:before="0" w:after="0"/>
        <w:rPr>
          <w:color w:val="FF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 xml:space="preserve">1.6 Рынок услуг </w:t>
      </w:r>
      <w:r>
        <w:rPr>
          <w:color w:val="000000"/>
        </w:rPr>
        <w:t>психолого-педагогического сопровождения детей с ограниченными возможностями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2025 на территории городского округа действовали 2 муниципальных казённых учреждения: «Реабилитационный центр для детей и подростков с ограниченными возможностями» и «Социально-</w:t>
      </w:r>
      <w:r>
        <w:rPr>
          <w:rFonts w:ascii="Times New Roman" w:hAnsi="Times New Roman"/>
          <w:color w:val="000000"/>
          <w:sz w:val="28"/>
          <w:szCs w:val="28"/>
        </w:rPr>
        <w:t>реабилитационный центр для несовершеннолетних», а также Благотворительный фонд помощи детям «Загадай желание», оказывающие услуги психолого-педагогического сопровождения детей с ограниченными возможностями здоровья.</w:t>
      </w:r>
    </w:p>
    <w:p w:rsidR="00E573C0" w:rsidRDefault="00B249E5">
      <w:pPr>
        <w:tabs>
          <w:tab w:val="left" w:pos="357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12.08.2025 г. в результате реорганизации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слияния муниципального казённого учреждения АСГО «Реабилитационный центр для детей и подростков с ограниченными возможностями» и муниципального казенного учреждения АСГО «Социально-реабилитационный Центр для несовершеннолетних» образовано новое юр</w:t>
      </w:r>
      <w:r>
        <w:rPr>
          <w:rFonts w:ascii="Times New Roman" w:hAnsi="Times New Roman"/>
          <w:color w:val="000000"/>
          <w:sz w:val="28"/>
          <w:szCs w:val="28"/>
        </w:rPr>
        <w:t>идическое лицо — Муниципальное казенное учреждение Анжеро-Судженского городского округа «Центр социальной помощи семье и детям». (далее Центр Семья). Данное решение позволяет повысить эффективность работы с семьями, находящимися в трудной жизненной ситуаци</w:t>
      </w:r>
      <w:r>
        <w:rPr>
          <w:rFonts w:ascii="Times New Roman" w:hAnsi="Times New Roman"/>
          <w:color w:val="000000"/>
          <w:sz w:val="28"/>
          <w:szCs w:val="28"/>
        </w:rPr>
        <w:t>и, и обеспечить более широкий спектр услуг для детей, нуждающихся в особой защите государства.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-основными проблемами являются очень высокая стоимость реабилитационных мероприятий, оборудования, обучения специалистов;</w:t>
      </w:r>
    </w:p>
    <w:p w:rsidR="00E573C0" w:rsidRDefault="00B249E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-высокие требован</w:t>
      </w:r>
      <w:r>
        <w:rPr>
          <w:rFonts w:ascii="Times New Roman" w:hAnsi="Times New Roman"/>
          <w:color w:val="000000"/>
          <w:sz w:val="28"/>
          <w:szCs w:val="28"/>
        </w:rPr>
        <w:t>ия в отношении соблюдения санитарных норм, пожарной безопасности, обеспечения без барьерного доступа, предъявляемые к организациям, осуществляющим социальное обслуживание детей (вне зависимости от форм собственности).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1.7 Рынок социальных услуг</w:t>
      </w:r>
    </w:p>
    <w:p w:rsidR="00E573C0" w:rsidRDefault="00E573C0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 2025 на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территории городского округа действовало 10 организаций, которые оказывали социальные услуги: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Управление социальной защиты населения администрации Анжеро-Судженского городского округа;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- 3 муниципальных учреждения: МКУ «Реабилитационный центр для детей </w:t>
      </w:r>
      <w:r>
        <w:rPr>
          <w:rFonts w:ascii="Times New Roman" w:hAnsi="Times New Roman"/>
          <w:color w:val="000000"/>
          <w:sz w:val="28"/>
          <w:szCs w:val="28"/>
        </w:rPr>
        <w:t>и подростков с ограниченными возможностями», МКУ «Социально-реабилитационный центр для несовершеннолетних» и МБУ «Комплексный центр социального обслуживания населения»;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- 2 государственных бюджетных стационарных учреждения социального обслуживания Кемеровс</w:t>
      </w:r>
      <w:r>
        <w:rPr>
          <w:rFonts w:ascii="Times New Roman" w:hAnsi="Times New Roman"/>
          <w:color w:val="000000"/>
          <w:sz w:val="28"/>
          <w:szCs w:val="28"/>
        </w:rPr>
        <w:t>кой области: «Анжеро-Судженский дом-интернат для престарелых и инвалидов» и «Анжеро-Судженский психоневрологический дом-интернат»;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- 4 негосударственные организации: 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*благотворительный фонд помощи детям «Загадай желание» (с ноября 2016 г.);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*автономная не</w:t>
      </w:r>
      <w:r>
        <w:rPr>
          <w:rFonts w:ascii="Times New Roman" w:hAnsi="Times New Roman"/>
          <w:color w:val="000000"/>
          <w:sz w:val="28"/>
          <w:szCs w:val="28"/>
        </w:rPr>
        <w:t>коммерческая организация «Центр поддержки несовершеннолетних», оказавшихся в трудной жизненной ситуации «Планета детства» (с сентября 2019 г.);</w:t>
      </w:r>
    </w:p>
    <w:p w:rsidR="00E573C0" w:rsidRDefault="00B249E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*автономная некоммерческая организация социальной поддержки граждан, находящихся в трудной жизненной ситуации «В</w:t>
      </w:r>
      <w:r>
        <w:rPr>
          <w:rFonts w:ascii="Times New Roman" w:hAnsi="Times New Roman"/>
          <w:color w:val="000000"/>
          <w:sz w:val="28"/>
          <w:szCs w:val="28"/>
        </w:rPr>
        <w:t>ектор добра» (с декабря 2022 г.);</w:t>
      </w:r>
    </w:p>
    <w:p w:rsidR="00E573C0" w:rsidRDefault="00B249E5">
      <w:pPr>
        <w:pStyle w:val="ac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*автономная некоммерческая организация поддержки участников СВО и членов их семей «Рука помощи» (с августа 2023 г.).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низкая доходность и специфика рынка. Потребителями рынка услуг социального обслуж</w:t>
      </w:r>
      <w:r>
        <w:rPr>
          <w:rFonts w:ascii="Times New Roman" w:hAnsi="Times New Roman"/>
          <w:color w:val="000000"/>
          <w:sz w:val="28"/>
          <w:szCs w:val="28"/>
        </w:rPr>
        <w:t>ивания населения в большинстве своем являются неплатежеспособные или низко платёжеспособные граждане;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регионе, муниципальных образованиях Кемеровской области мер имущественной поддержки (льготная аренда помещений, предоставление помещений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безвозмездное пользование, содействие в обеспечении требований пожарной безопасности, доступной среды, компенсация коммунальных платежей и т.д.)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1.8. Рынок Теплоснабжения (производство тепловой энергии)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территории городского округа тепловую энергию по</w:t>
      </w:r>
      <w:r>
        <w:rPr>
          <w:rFonts w:ascii="Times New Roman" w:hAnsi="Times New Roman"/>
          <w:color w:val="000000"/>
          <w:sz w:val="28"/>
        </w:rPr>
        <w:t xml:space="preserve">требителям реализуют 3 регулируемые организации, вид деятельности которых включает производство и передачу пара и горячей воды (тепловой энергии) котельными. Данные </w:t>
      </w:r>
      <w:proofErr w:type="spellStart"/>
      <w:r>
        <w:rPr>
          <w:rFonts w:ascii="Times New Roman" w:hAnsi="Times New Roman"/>
          <w:color w:val="000000"/>
          <w:sz w:val="28"/>
        </w:rPr>
        <w:t>ресурсоснабжающие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организации имеют частную форму собственности - ООО "</w:t>
      </w:r>
      <w:proofErr w:type="spellStart"/>
      <w:r>
        <w:rPr>
          <w:rFonts w:ascii="Times New Roman" w:hAnsi="Times New Roman"/>
          <w:color w:val="000000"/>
          <w:sz w:val="28"/>
        </w:rPr>
        <w:t>ТеплоРесурс</w:t>
      </w:r>
      <w:proofErr w:type="spellEnd"/>
      <w:r>
        <w:rPr>
          <w:rFonts w:ascii="Times New Roman" w:hAnsi="Times New Roman"/>
          <w:color w:val="000000"/>
          <w:sz w:val="28"/>
        </w:rPr>
        <w:t>", АО «Ка</w:t>
      </w:r>
      <w:r>
        <w:rPr>
          <w:rFonts w:ascii="Times New Roman" w:hAnsi="Times New Roman"/>
          <w:color w:val="000000"/>
          <w:sz w:val="28"/>
        </w:rPr>
        <w:t>скад-</w:t>
      </w:r>
      <w:proofErr w:type="spellStart"/>
      <w:r>
        <w:rPr>
          <w:rFonts w:ascii="Times New Roman" w:hAnsi="Times New Roman"/>
          <w:color w:val="000000"/>
          <w:sz w:val="28"/>
        </w:rPr>
        <w:t>Энерго</w:t>
      </w:r>
      <w:proofErr w:type="spellEnd"/>
      <w:r>
        <w:rPr>
          <w:rFonts w:ascii="Times New Roman" w:hAnsi="Times New Roman"/>
          <w:color w:val="000000"/>
          <w:sz w:val="28"/>
        </w:rPr>
        <w:t>», ООО «Мир тепла».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2025 году концессионные соглашения не расторгались.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значительные первоначальные капитальные вложения в развитие бизнеса;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-высокий уровень износа основных фондов;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-жёсткое регулирование тарифа 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уполномоченного органа.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1.9 Рынок выполнения работ по благоустройству городской среды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01.01.2026 года на территории муниципального образования «Анжеро-Судженский городской округ» 30 организаций оказывают услуги по благоустройству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городской среды.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Всего площадь благоустраиваемой территории городского округа составляет 5380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тыс.кв.м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Озеленённая территория городского округа составляет 179 га.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01.01.2026 на территории муниципального образования «Анжеро-Судженский город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округ» отсутствуют муниципальные унитарные предприятия и муниципальные предприятия, оказывающие услуги по благоустройству городской среды.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  <w:lang w:eastAsia="ru-RU"/>
        </w:rPr>
        <w:t>низкий уровень конкуренции на данном рынке</w:t>
      </w:r>
    </w:p>
    <w:p w:rsidR="00E573C0" w:rsidRDefault="00E573C0">
      <w:pPr>
        <w:pStyle w:val="a9"/>
        <w:spacing w:before="0" w:after="0"/>
        <w:rPr>
          <w:color w:val="FF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 xml:space="preserve">1.10 Рынок выполнения работ по содержанию и </w:t>
      </w:r>
      <w:r>
        <w:rPr>
          <w:color w:val="000000"/>
        </w:rPr>
        <w:t>текущему ремонту общего имущества собственников помещений в многоквартирном доме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01.01.2026 г. согласно информационной системе ГИС ЖКХ числится 558 многоквартирных жилых дома. В настоящее время 14 организаций, осуществляют управление жилищным фондом го</w:t>
      </w:r>
      <w:r>
        <w:rPr>
          <w:rFonts w:ascii="Times New Roman" w:hAnsi="Times New Roman" w:cs="Times New Roman"/>
          <w:color w:val="000000"/>
          <w:sz w:val="28"/>
          <w:szCs w:val="28"/>
        </w:rPr>
        <w:t>родского округа.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качество предоставляемых услуг на данном рынке;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платежеспособность населения;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процент износа многоквартирных домов требует проведения дорогостоящего капитального ремонта.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 xml:space="preserve">1.11 Рынок поставок сжиженного </w:t>
      </w:r>
      <w:r>
        <w:rPr>
          <w:color w:val="000000"/>
        </w:rPr>
        <w:t>газа в баллонах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Кемеровской области осуществляют деятельность 13 организаций частной формы собственности, занимающиеся отпуском сжиженного газа в баллонах населению.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Рынок поставок сжиженного газа в баллонах на территории Анжеро-Судженского городского о</w:t>
      </w:r>
      <w:r>
        <w:rPr>
          <w:rFonts w:ascii="Times New Roman" w:hAnsi="Times New Roman"/>
          <w:color w:val="000000"/>
          <w:sz w:val="28"/>
          <w:szCs w:val="28"/>
        </w:rPr>
        <w:t>круга представлен ООО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Анжерский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горгаз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недостаточное количество организаций на данном рынке.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1.12 Рынок оказания услуг по перевозке пассажиров автомобильным транспортом по муниципальным маршрутам регулярных перевозок</w:t>
      </w:r>
    </w:p>
    <w:p w:rsidR="00E573C0" w:rsidRDefault="00E573C0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Пассажирские автотранспортные предприятия, оказывающие услуги по перевозке пассажиров автомобильным транспортом по муниципальным маршрутам регулярных перевозок Анжеро-Судженского городского округа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включают: 1 государственное предприятие (филиал ГПК ПАТ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г.А</w:t>
      </w:r>
      <w:r>
        <w:rPr>
          <w:rFonts w:ascii="Times New Roman" w:hAnsi="Times New Roman"/>
          <w:color w:val="000000"/>
          <w:sz w:val="28"/>
          <w:szCs w:val="28"/>
        </w:rPr>
        <w:t>нжеро-Судженск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и 1 организация частной формы собственности ИП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Липунов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М.В.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Обоснование проблемы: 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-значительные капитальные вложения на приобретение подвижного состава;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-значительный срок окупаемости капитальных вложений;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-отсутствие эффективной поддержки</w:t>
      </w:r>
      <w:r>
        <w:rPr>
          <w:rFonts w:ascii="Times New Roman" w:hAnsi="Times New Roman"/>
          <w:color w:val="000000"/>
          <w:sz w:val="28"/>
          <w:szCs w:val="28"/>
        </w:rPr>
        <w:t xml:space="preserve"> отрасли;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-ограничения в виде законодательных актов, определяющих экономическую и налоговую политику;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-низкая доходность деятельности вследствие государственного регулирования тарифов, обеспечивающих транспортную доступность для всех слоев населения;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-нера</w:t>
      </w:r>
      <w:r>
        <w:rPr>
          <w:rFonts w:ascii="Times New Roman" w:hAnsi="Times New Roman"/>
          <w:color w:val="000000"/>
          <w:sz w:val="28"/>
          <w:szCs w:val="28"/>
        </w:rPr>
        <w:t>звитость инфраструктуры - плохие дороги.</w:t>
      </w:r>
    </w:p>
    <w:p w:rsidR="00E573C0" w:rsidRDefault="00E573C0">
      <w:pPr>
        <w:pStyle w:val="a9"/>
        <w:spacing w:before="0" w:after="0"/>
        <w:rPr>
          <w:color w:val="FF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 xml:space="preserve">1.13. Рынок оказания услуг по перевозке пассажиров и багажа легковым такси на территории городского округа 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 организации, осуществляющие деятельность по оказанию услуг по перевозке пассажиров и багажа легковым </w:t>
      </w:r>
      <w:r>
        <w:rPr>
          <w:rFonts w:ascii="Times New Roman" w:hAnsi="Times New Roman"/>
          <w:color w:val="000000"/>
          <w:sz w:val="28"/>
          <w:szCs w:val="28"/>
        </w:rPr>
        <w:t xml:space="preserve">такси на территории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находятся в собственности частных организаций.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Обоснование проблемы: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значительная доля нелегальных перевозчиков;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низкое качество оказываемых услуг по перевозке пассажиров и багажа легковым такси.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 xml:space="preserve">1.14 Рынок услуг </w:t>
      </w:r>
      <w:r>
        <w:rPr>
          <w:color w:val="000000"/>
        </w:rPr>
        <w:t>связи, в том числе услуг по предоставлению широкополосного доступа к информационно-телекоммуникационной сети «Интернет»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организации, осуществляющие деятельность по оказанию слуг связи, в том числе услуг по предоставлению широкополосного доступа к инфо</w:t>
      </w:r>
      <w:r>
        <w:rPr>
          <w:rFonts w:ascii="Times New Roman" w:hAnsi="Times New Roman"/>
          <w:color w:val="000000"/>
          <w:sz w:val="28"/>
          <w:szCs w:val="28"/>
        </w:rPr>
        <w:t>рмационно-телекоммуникационной сети «Интернет» на территории городского округа находятся в собственности частных организаций.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низкая конкуренция на рынке услуг широкополосного доступа к информационно-телекоммуникационной сети «Интер</w:t>
      </w:r>
      <w:r>
        <w:rPr>
          <w:rFonts w:ascii="Times New Roman" w:hAnsi="Times New Roman" w:cs="Times New Roman"/>
          <w:color w:val="000000"/>
          <w:sz w:val="28"/>
          <w:szCs w:val="28"/>
        </w:rPr>
        <w:t>нет».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1.15. Рынок добычи общераспространённых полезных ископаемых на участках недр местного значения</w:t>
      </w:r>
    </w:p>
    <w:p w:rsidR="00E573C0" w:rsidRDefault="00E573C0">
      <w:pPr>
        <w:tabs>
          <w:tab w:val="center" w:pos="23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tabs>
          <w:tab w:val="center" w:pos="23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01.01.2026 года на территории Анжеро-Судженского городского округа действует 4 лицензии на пользование недрами с целью геологическое изучения, включающего поиски и оценку месторождений полезных ископаемых, разведку и добычу полезных ископае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мых, в том числе использование отходов горнодобывающего предприятия и связанных с ним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перерабатывающих производств. Владельцами лицензий являются организации частной формы собственности АО «Кузнецкие ферросплавы», </w:t>
      </w:r>
      <w:r>
        <w:rPr>
          <w:rStyle w:val="extendedtext-short"/>
          <w:rFonts w:ascii="Times New Roman" w:hAnsi="Times New Roman" w:cs="Times New Roman"/>
          <w:color w:val="000000"/>
          <w:sz w:val="28"/>
          <w:szCs w:val="28"/>
        </w:rPr>
        <w:t>ООО "</w:t>
      </w:r>
      <w:r>
        <w:rPr>
          <w:rStyle w:val="extendedtext-short"/>
          <w:rFonts w:ascii="Times New Roman" w:hAnsi="Times New Roman" w:cs="Times New Roman"/>
          <w:bCs/>
          <w:color w:val="000000"/>
          <w:sz w:val="28"/>
          <w:szCs w:val="28"/>
        </w:rPr>
        <w:t>СИБАНТРАЦИТ</w:t>
      </w:r>
      <w:r>
        <w:rPr>
          <w:rStyle w:val="extendedtext-shor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extendedtext-short"/>
          <w:rFonts w:ascii="Times New Roman" w:hAnsi="Times New Roman" w:cs="Times New Roman"/>
          <w:bCs/>
          <w:color w:val="000000"/>
          <w:sz w:val="28"/>
          <w:szCs w:val="28"/>
        </w:rPr>
        <w:t>КУЗБАСС</w:t>
      </w:r>
      <w:r>
        <w:rPr>
          <w:rStyle w:val="extendedtext-short"/>
          <w:rFonts w:ascii="Times New Roman" w:hAnsi="Times New Roman" w:cs="Times New Roman"/>
          <w:color w:val="000000"/>
          <w:sz w:val="28"/>
          <w:szCs w:val="28"/>
        </w:rPr>
        <w:t xml:space="preserve">" и </w:t>
      </w:r>
      <w:r>
        <w:rPr>
          <w:rStyle w:val="extendedtext-short"/>
          <w:rFonts w:ascii="Times New Roman" w:hAnsi="Times New Roman" w:cs="Times New Roman"/>
          <w:bCs/>
          <w:color w:val="000000"/>
          <w:sz w:val="28"/>
          <w:szCs w:val="28"/>
        </w:rPr>
        <w:t>ООО</w:t>
      </w:r>
      <w:r>
        <w:rPr>
          <w:rStyle w:val="extendedtext-shor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extendedtext-short"/>
          <w:rFonts w:ascii="Times New Roman" w:hAnsi="Times New Roman" w:cs="Times New Roman"/>
          <w:bCs/>
          <w:color w:val="000000"/>
          <w:sz w:val="28"/>
          <w:szCs w:val="28"/>
        </w:rPr>
        <w:t>СП</w:t>
      </w:r>
      <w:r>
        <w:rPr>
          <w:rStyle w:val="extendedtext-short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Style w:val="extendedtext-short"/>
          <w:rFonts w:ascii="Times New Roman" w:hAnsi="Times New Roman" w:cs="Times New Roman"/>
          <w:bCs/>
          <w:color w:val="000000"/>
          <w:sz w:val="28"/>
          <w:szCs w:val="28"/>
        </w:rPr>
        <w:t>Барзас</w:t>
      </w:r>
      <w:r>
        <w:rPr>
          <w:rStyle w:val="extendedtext-short"/>
          <w:rFonts w:ascii="Times New Roman" w:hAnsi="Times New Roman" w:cs="Times New Roman"/>
          <w:bCs/>
          <w:color w:val="000000"/>
          <w:sz w:val="28"/>
          <w:szCs w:val="28"/>
        </w:rPr>
        <w:t>ское</w:t>
      </w:r>
      <w:proofErr w:type="spellEnd"/>
      <w:r>
        <w:rPr>
          <w:rStyle w:val="extendedtext-shor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extendedtext-short"/>
          <w:rFonts w:ascii="Times New Roman" w:hAnsi="Times New Roman" w:cs="Times New Roman"/>
          <w:bCs/>
          <w:color w:val="000000"/>
          <w:sz w:val="28"/>
          <w:szCs w:val="28"/>
        </w:rPr>
        <w:t>товарищество</w:t>
      </w:r>
      <w:r>
        <w:rPr>
          <w:rStyle w:val="extendedtext-short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573C0" w:rsidRDefault="00B249E5">
      <w:pPr>
        <w:tabs>
          <w:tab w:val="center" w:pos="231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tabs>
          <w:tab w:val="center" w:pos="23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эффективность использования сырьевой базы промышленности строительных материалов, обусловленная конъюнктурными колебаниями на рынке строительных материалов;</w:t>
      </w:r>
    </w:p>
    <w:p w:rsidR="00E573C0" w:rsidRDefault="00B249E5">
      <w:pPr>
        <w:tabs>
          <w:tab w:val="center" w:pos="231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использования существующего сыр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 местными производителями.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1.16. Рынок нефтепродуктов</w:t>
      </w:r>
    </w:p>
    <w:p w:rsidR="00E573C0" w:rsidRDefault="00E573C0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573C0" w:rsidRDefault="00B249E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Анжеро-Судженского городского округа </w:t>
      </w:r>
      <w:proofErr w:type="spellStart"/>
      <w:r>
        <w:rPr>
          <w:color w:val="000000"/>
          <w:sz w:val="28"/>
          <w:szCs w:val="28"/>
        </w:rPr>
        <w:t>осуществлет</w:t>
      </w:r>
      <w:proofErr w:type="spellEnd"/>
      <w:r>
        <w:rPr>
          <w:color w:val="000000"/>
          <w:sz w:val="28"/>
          <w:szCs w:val="28"/>
        </w:rPr>
        <w:t xml:space="preserve"> деятельность по переработке нефти </w:t>
      </w:r>
      <w:proofErr w:type="spellStart"/>
      <w:r>
        <w:rPr>
          <w:bCs/>
          <w:color w:val="000000"/>
          <w:sz w:val="28"/>
          <w:szCs w:val="28"/>
        </w:rPr>
        <w:t>Яйский</w:t>
      </w:r>
      <w:proofErr w:type="spellEnd"/>
      <w:r>
        <w:rPr>
          <w:bCs/>
          <w:color w:val="000000"/>
          <w:sz w:val="28"/>
          <w:szCs w:val="28"/>
        </w:rPr>
        <w:t xml:space="preserve"> нефтеперерабатывающий завод </w:t>
      </w:r>
      <w:r>
        <w:rPr>
          <w:color w:val="000000"/>
          <w:sz w:val="28"/>
          <w:szCs w:val="28"/>
        </w:rPr>
        <w:t>топливного профиля, который введен в эксплуатацию в 2013 году.</w:t>
      </w:r>
      <w:r>
        <w:rPr>
          <w:rFonts w:eastAsia="Calibri" w:cs="Calibri"/>
          <w:color w:val="000000"/>
          <w:sz w:val="28"/>
          <w:szCs w:val="28"/>
          <w:lang w:eastAsia="en-US"/>
        </w:rPr>
        <w:t xml:space="preserve"> Нефтеперерабатывающий комплекс </w:t>
      </w:r>
      <w:r>
        <w:rPr>
          <w:color w:val="000000"/>
          <w:sz w:val="28"/>
          <w:szCs w:val="28"/>
        </w:rPr>
        <w:t>ЯЯНПЗ АО «</w:t>
      </w:r>
      <w:proofErr w:type="spellStart"/>
      <w:r>
        <w:rPr>
          <w:color w:val="000000"/>
          <w:sz w:val="28"/>
          <w:szCs w:val="28"/>
        </w:rPr>
        <w:t>Нефтехимсервис</w:t>
      </w:r>
      <w:proofErr w:type="spellEnd"/>
      <w:r>
        <w:rPr>
          <w:color w:val="000000"/>
          <w:sz w:val="28"/>
          <w:szCs w:val="28"/>
        </w:rPr>
        <w:t>» объединяет в себе Северный Кузбасс-АНГК и ООО «Анжерская нефтегазовая компания».  Завод расположен в границах Анжеро-Судженского городского округа в непосредственной близости от магистрального нефте</w:t>
      </w:r>
      <w:r>
        <w:rPr>
          <w:color w:val="000000"/>
          <w:sz w:val="28"/>
          <w:szCs w:val="28"/>
        </w:rPr>
        <w:t>провода и Транссибирской железнодорожной магистрали. Продукция реализуется как на территории Российской Федерации (Сибирский федеральный округ, Дальневосточный федеральный округ), так и в странах СНГ, Прибалтике, Нидерландах, Германии, Китае, Корее и Япони</w:t>
      </w:r>
      <w:r>
        <w:rPr>
          <w:color w:val="000000"/>
          <w:sz w:val="28"/>
          <w:szCs w:val="28"/>
        </w:rPr>
        <w:t xml:space="preserve">и и </w:t>
      </w:r>
      <w:proofErr w:type="spellStart"/>
      <w:r>
        <w:rPr>
          <w:color w:val="000000"/>
          <w:sz w:val="28"/>
          <w:szCs w:val="28"/>
        </w:rPr>
        <w:t>др</w:t>
      </w:r>
      <w:proofErr w:type="spellEnd"/>
      <w:r>
        <w:rPr>
          <w:color w:val="000000"/>
          <w:sz w:val="28"/>
          <w:szCs w:val="28"/>
        </w:rPr>
        <w:t>;).</w:t>
      </w:r>
    </w:p>
    <w:p w:rsidR="00E573C0" w:rsidRDefault="00B249E5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текущий момент предприятие реализует инвестиционный проект по строительству третьей очереди, в рамках которого, к концу 2028 года будут построены два комплекса: </w:t>
      </w:r>
    </w:p>
    <w:p w:rsidR="00E573C0" w:rsidRDefault="00B249E5">
      <w:pPr>
        <w:pStyle w:val="a5"/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комплекс </w:t>
      </w:r>
      <w:proofErr w:type="spellStart"/>
      <w:r>
        <w:rPr>
          <w:color w:val="000000"/>
          <w:sz w:val="28"/>
          <w:szCs w:val="28"/>
        </w:rPr>
        <w:t>депарафинизации</w:t>
      </w:r>
      <w:proofErr w:type="spellEnd"/>
      <w:r>
        <w:rPr>
          <w:color w:val="000000"/>
          <w:sz w:val="28"/>
          <w:szCs w:val="28"/>
        </w:rPr>
        <w:t xml:space="preserve"> мощностью 2,6 млн тонн в год;</w:t>
      </w:r>
    </w:p>
    <w:p w:rsidR="00E573C0" w:rsidRDefault="00B249E5">
      <w:pPr>
        <w:pStyle w:val="a5"/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установка замедленного</w:t>
      </w:r>
      <w:r>
        <w:rPr>
          <w:color w:val="000000"/>
          <w:sz w:val="28"/>
          <w:szCs w:val="28"/>
        </w:rPr>
        <w:t xml:space="preserve"> коксования производительностью 1,3 млн тонн в год.</w:t>
      </w:r>
    </w:p>
    <w:p w:rsidR="00E573C0" w:rsidRDefault="00B249E5">
      <w:pPr>
        <w:pStyle w:val="a5"/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before="0" w:beforeAutospacing="0" w:after="0" w:afterAutospacing="0"/>
        <w:ind w:firstLine="567"/>
        <w:contextualSpacing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>
        <w:rPr>
          <w:rFonts w:eastAsia="Calibri" w:cs="Calibri"/>
          <w:color w:val="000000"/>
          <w:sz w:val="28"/>
          <w:szCs w:val="28"/>
          <w:lang w:eastAsia="en-US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себестоимость продукции;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регулирование ценовой политики;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-высокая конкуренция с нефтеперерабатывающими предприятиями близлежащих регионов.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 xml:space="preserve">1.17. Рынок </w:t>
      </w:r>
      <w:r>
        <w:rPr>
          <w:color w:val="000000"/>
        </w:rPr>
        <w:t>лёгкой промышленности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сфере текстильной и лёгкой промышленности на территории Анжеро-Судженского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свою 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одна организация ООО «Фламинго».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Обоснование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конкуренция на внутреннем рынке между росс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ийскими и зарубежными товаропроизводителями;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удельный вес дешёвых товаров китайского производства;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отсутствие равных конкурентных возможностей с иностранными производителями;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недостаточный уровень инвестиций, необходимых для модернизации отрасли и внедрения современных технологий;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нехватка собственных оборотных средств;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в получении льготных кредитов предприятиями легкой промышленности;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заработная плата.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1.18 Рынок обработки древесины и производство изделий из дерева</w:t>
      </w:r>
    </w:p>
    <w:p w:rsidR="00E573C0" w:rsidRDefault="00E573C0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территории Анжеро-Судженского городского округа зарегистрированы 4 предприятия в области деревообработки. (ИП Бураков Э.В., ООО «Аверс-Лес-Инвест», ООО «ЛПК», 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Леспромакс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Обоснован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ие проблемы: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недостаточная развитость мощностей по глубокой переработке древесного сырья, создание которых может вовлечь в оборот невостребованную в настоящее время низкокачественную древесину; 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низкий уровень использования отходов лесопиления;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недостаток инвестиций в лесопромышленный и деревообрабатывающий комплекс, связанный с низкой инвестиционной привлекательностью многих предприятий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573C0" w:rsidRDefault="00E573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573C0" w:rsidRDefault="00B249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1.19 Рынок повышения финансовой грамотности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целью повышения финансовой грамотности и снижения уровня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закр</w:t>
      </w:r>
      <w:r>
        <w:rPr>
          <w:rFonts w:ascii="Times New Roman" w:hAnsi="Times New Roman" w:cs="Times New Roman"/>
          <w:color w:val="000000"/>
          <w:sz w:val="28"/>
          <w:szCs w:val="28"/>
        </w:rPr>
        <w:t>едитованности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на официальном сайте Анжеро-Судженского городского округа создан раздел «Повышение уровня финансовой грамотности населения». В данном разделе размещается информация, в которой указывается порядок мер, направленных на воссоздание у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аселения должного поведения для принятия денежных вопросов, которые касаются поднятия услуг и личных средств людей (информация о рынке ценных бумаг, банковском секторе, страхование, негосударственное пенсионное обеспечение,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измение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налоговом законодатель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стве и другое). Информация постоянно обновляется с учетом развития финансового рынка и нормативно-правовой базы.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административном здании установлен информационный уголок, для населения города, где собрана полезная информация как принять взвешенные и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правильные решения в области финансов.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Информационно-разъяснительная работа по повышению финансовой грамотности проводится для всех категорий населения путем публикации информации в местных печатных СМИ, а также распространения материалов в местах массовог</w:t>
      </w:r>
      <w:r>
        <w:rPr>
          <w:rFonts w:ascii="Times New Roman" w:hAnsi="Times New Roman" w:cs="Times New Roman"/>
          <w:color w:val="000000"/>
          <w:sz w:val="28"/>
          <w:szCs w:val="28"/>
        </w:rPr>
        <w:t>о скопления людей.</w:t>
      </w:r>
    </w:p>
    <w:p w:rsidR="00E573C0" w:rsidRDefault="00E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73C0" w:rsidRDefault="00B2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состояния конкурентной среды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состояния конкурентной среды проводится посредством оценки достижения плановых значений целевых показателей, установленных планом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мероприятий по содействию развитию конкуренции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Анжеро-Судженском городском округе на 2025 год.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Отчёт о достижении целевых показателей по содействию развитию конкуренции на территории Анжеро-Судженского городского округа за 2025 год представлен в приложении к докладу.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73C0" w:rsidRDefault="00B249E5">
      <w:pPr>
        <w:pStyle w:val="a9"/>
        <w:spacing w:before="0" w:after="0"/>
        <w:rPr>
          <w:color w:val="FF0000"/>
        </w:rPr>
      </w:pPr>
      <w:r>
        <w:rPr>
          <w:color w:val="FF0000"/>
        </w:rPr>
        <w:t>2. Системные мероприятия по развит</w:t>
      </w:r>
      <w:r>
        <w:rPr>
          <w:color w:val="FF0000"/>
        </w:rPr>
        <w:t>ию конкурентной среды в Анжеро-Судженском городском округе</w:t>
      </w:r>
    </w:p>
    <w:p w:rsidR="00E573C0" w:rsidRDefault="00B249E5">
      <w:pPr>
        <w:pStyle w:val="a9"/>
        <w:spacing w:before="0" w:after="0"/>
        <w:rPr>
          <w:color w:val="FF0000"/>
        </w:rPr>
      </w:pPr>
      <w:r>
        <w:rPr>
          <w:color w:val="FF0000"/>
        </w:rPr>
        <w:t>2.1. Совершенствование процессов управления объектами муниципальной собственности в Анжеро-Судженском городском округе</w:t>
      </w:r>
    </w:p>
    <w:p w:rsidR="00E573C0" w:rsidRDefault="00E573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Информация о реализации муниципального имущества Анжеро-Судженского городског</w:t>
      </w:r>
      <w:r>
        <w:rPr>
          <w:rFonts w:ascii="Times New Roman" w:hAnsi="Times New Roman" w:cs="Times New Roman"/>
          <w:color w:val="FF0000"/>
          <w:sz w:val="28"/>
          <w:szCs w:val="28"/>
        </w:rPr>
        <w:t>о округа регулярно размещается на официальном сайте Анжеро-Судженского городского округа в информационно-телекоммуникационной сети «Интернет» и на официальном сайте проведения торгов (</w:t>
      </w:r>
      <w:hyperlink r:id="rId5" w:history="1">
        <w:r>
          <w:rPr>
            <w:rStyle w:val="af0"/>
            <w:rFonts w:ascii="Times New Roman" w:hAnsi="Times New Roman" w:cs="Times New Roman"/>
            <w:color w:val="FF0000"/>
            <w:sz w:val="28"/>
            <w:szCs w:val="28"/>
          </w:rPr>
          <w:t>www.torgi.gov.ru</w:t>
        </w:r>
      </w:hyperlink>
      <w:r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E573C0" w:rsidRDefault="00B249E5">
      <w:pPr>
        <w:widowControl w:val="0"/>
        <w:spacing w:after="0" w:line="240" w:lineRule="auto"/>
        <w:ind w:firstLine="709"/>
        <w:jc w:val="both"/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</w:pPr>
      <w:r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  <w:t>В соответстви</w:t>
      </w:r>
      <w:r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  <w:t>и с прогнозным планом приватизации муниципального имущества Анжеро-Судженского городского округа на 2024 год, утвержденным решением Совета народных депутатов Анжеро-Судженского городского округа от 30.06.2023 №188 «Об утверждении прогнозного плана приватиз</w:t>
      </w:r>
      <w:r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  <w:t>ации муниципального имущества Анжеро-Судженского городского округа на 2024 год», к продаже было представлено 2 объекта недвижимого имущества муниципальной собственности.</w:t>
      </w:r>
    </w:p>
    <w:p w:rsidR="00E573C0" w:rsidRDefault="00B249E5">
      <w:pPr>
        <w:widowControl w:val="0"/>
        <w:spacing w:after="0" w:line="240" w:lineRule="auto"/>
        <w:ind w:firstLine="709"/>
        <w:jc w:val="both"/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</w:pPr>
      <w:r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  <w:t xml:space="preserve">Фактически по итогам 2024 года было заключено 3 договора купли-продажи муниципального </w:t>
      </w:r>
      <w:r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  <w:t xml:space="preserve">имущества на сумму 4707,71 </w:t>
      </w:r>
      <w:proofErr w:type="spellStart"/>
      <w:r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  <w:t>тыс.руб</w:t>
      </w:r>
      <w:proofErr w:type="spellEnd"/>
      <w:r>
        <w:rPr>
          <w:rFonts w:ascii="Times New Roman" w:eastAsia="Basic Roman" w:hAnsi="Times New Roman" w:cs="Basic Roman"/>
          <w:color w:val="FF0000"/>
          <w:kern w:val="1"/>
          <w:sz w:val="28"/>
          <w:szCs w:val="20"/>
          <w:lang w:eastAsia="zh-CN"/>
        </w:rPr>
        <w:t xml:space="preserve">. без учета НДС. </w:t>
      </w:r>
    </w:p>
    <w:p w:rsidR="00E573C0" w:rsidRDefault="00E573C0">
      <w:pPr>
        <w:pStyle w:val="a9"/>
        <w:spacing w:before="0" w:after="0"/>
        <w:rPr>
          <w:color w:val="FF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 xml:space="preserve">2.2. Содействие созданию и развитию институтов поддержки субъектов малого предпринимательства в инновационной деятельности, обеспечивающих благоприятную экономическую среду для среднего и крупного </w:t>
      </w:r>
      <w:r>
        <w:rPr>
          <w:color w:val="000000"/>
        </w:rPr>
        <w:t>бизнеса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Субъектам малого и инновационного предпринимательства оказываются консультативные услуги по вопросам подготовки бизнес-планов для получения государственной поддержки на начальной стадии развития.</w:t>
      </w:r>
    </w:p>
    <w:p w:rsidR="00E573C0" w:rsidRDefault="00E573C0">
      <w:pPr>
        <w:pStyle w:val="a9"/>
        <w:spacing w:before="0" w:after="0"/>
        <w:rPr>
          <w:color w:val="000000"/>
        </w:rPr>
      </w:pPr>
    </w:p>
    <w:p w:rsidR="00E573C0" w:rsidRDefault="00B249E5">
      <w:pPr>
        <w:pStyle w:val="a9"/>
        <w:spacing w:before="0" w:after="0"/>
        <w:rPr>
          <w:b w:val="0"/>
          <w:color w:val="000000"/>
        </w:rPr>
      </w:pPr>
      <w:r>
        <w:rPr>
          <w:color w:val="000000"/>
        </w:rPr>
        <w:t>2</w:t>
      </w:r>
      <w:r>
        <w:rPr>
          <w:rStyle w:val="af3"/>
          <w:color w:val="000000"/>
        </w:rPr>
        <w:t>.3. Стимулирование новых предпринимательских иници</w:t>
      </w:r>
      <w:r>
        <w:rPr>
          <w:rStyle w:val="af3"/>
          <w:color w:val="000000"/>
        </w:rPr>
        <w:t>атив, обеспечивающих возможности для поиска, отбора и обучения потенциальных предпринимателей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Инвестиционные мероприятия организуются и проводятся на регулярной основе.</w:t>
      </w:r>
    </w:p>
    <w:p w:rsidR="00E573C0" w:rsidRDefault="00E573C0">
      <w:pPr>
        <w:pStyle w:val="a9"/>
        <w:spacing w:before="0" w:after="0"/>
        <w:rPr>
          <w:color w:val="FF0000"/>
        </w:rPr>
      </w:pPr>
    </w:p>
    <w:p w:rsidR="00E573C0" w:rsidRDefault="00B249E5">
      <w:pPr>
        <w:pStyle w:val="a9"/>
        <w:spacing w:before="0" w:after="0"/>
        <w:rPr>
          <w:color w:val="000000"/>
        </w:rPr>
      </w:pPr>
      <w:r>
        <w:rPr>
          <w:color w:val="000000"/>
        </w:rPr>
        <w:t>2.4. Системные мероприятия по подготовке ежегодного доклада «Состояние и развитие конк</w:t>
      </w:r>
      <w:r>
        <w:rPr>
          <w:color w:val="000000"/>
        </w:rPr>
        <w:t>урентной среды в Анжеро-Судженском городском округе»</w:t>
      </w:r>
    </w:p>
    <w:p w:rsidR="00E573C0" w:rsidRDefault="00E573C0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73C0" w:rsidRDefault="00B249E5">
      <w:pPr>
        <w:tabs>
          <w:tab w:val="left" w:pos="139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Вся информация в области внедрения Стандарта развития конкуренции Анжеро-Судженского городского округа размещена на официальном сайте муниципального образования «Анжеро-Судженский городской округ» в </w:t>
      </w:r>
      <w:r>
        <w:rPr>
          <w:rFonts w:ascii="Times New Roman" w:hAnsi="Times New Roman"/>
          <w:color w:val="000000"/>
          <w:sz w:val="28"/>
          <w:szCs w:val="28"/>
        </w:rPr>
        <w:t>информационно-телекоммуникационной сети «Интернет».</w:t>
      </w:r>
    </w:p>
    <w:p w:rsidR="00E573C0" w:rsidRDefault="00B249E5">
      <w:pPr>
        <w:tabs>
          <w:tab w:val="left" w:pos="851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Ежегодно в срок до 1 февраля года, следующего за отчётным, проводятся системные мероприятия по подготовке ежегодного доклада о состоянии и развитии конкурентной среды на рынках товаров, работ и услуг Анже</w:t>
      </w:r>
      <w:r>
        <w:rPr>
          <w:rFonts w:ascii="Times New Roman" w:hAnsi="Times New Roman"/>
          <w:color w:val="000000"/>
          <w:sz w:val="28"/>
          <w:szCs w:val="28"/>
        </w:rPr>
        <w:t>ро-Судженского городского округа.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Доклад о состоянии и развитии конкурентной среды на рынках товаров, работ и услуг Анжеро-Судженского городского округа ежегодно размещается на официальном сайте раздел экономика и финансы, вкладка «Внедрение стандарта разв</w:t>
      </w:r>
      <w:r>
        <w:rPr>
          <w:rFonts w:ascii="Times New Roman" w:hAnsi="Times New Roman"/>
          <w:color w:val="000000"/>
          <w:sz w:val="28"/>
          <w:szCs w:val="28"/>
        </w:rPr>
        <w:t>ития конкуренции».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2025 году проведён мониторинг состояния и развития конкурентной среды на территории </w:t>
      </w:r>
      <w:r>
        <w:rPr>
          <w:rFonts w:ascii="Times New Roman" w:hAnsi="Times New Roman"/>
          <w:color w:val="000000"/>
          <w:sz w:val="28"/>
          <w:szCs w:val="28"/>
        </w:rPr>
        <w:t>Анжеро-Судженского городского округа.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проводился с января 2025 года по январь 2026 года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путём интернет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опроса предпринимателей и потребите</w:t>
      </w:r>
      <w:r>
        <w:rPr>
          <w:rFonts w:ascii="Times New Roman" w:hAnsi="Times New Roman" w:cs="Times New Roman"/>
          <w:color w:val="000000"/>
          <w:sz w:val="28"/>
          <w:szCs w:val="28"/>
        </w:rPr>
        <w:t>лей товаров и услуг.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Ссылки на анкеты для проведения мониторинга были размещены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>Анжеро-Судженского городского округа.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мониторинга: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-наличие (отсутствие) административных барьеров и оценка состояния ко</w:t>
      </w:r>
      <w:r>
        <w:rPr>
          <w:rFonts w:ascii="Times New Roman" w:hAnsi="Times New Roman" w:cs="Times New Roman"/>
          <w:color w:val="000000"/>
          <w:sz w:val="28"/>
          <w:szCs w:val="28"/>
        </w:rPr>
        <w:t>нкурентной среды субъектами предпринимательской деятельности;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-удовлетворённость потребителей качеством товаров, работ и услуг на товарных рынках и состоянием ценовой конкуренции;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-удовлетворённость предпринимателей и потребителей качеством (уровнем доступ</w:t>
      </w:r>
      <w:r>
        <w:rPr>
          <w:rFonts w:ascii="Times New Roman" w:hAnsi="Times New Roman" w:cs="Times New Roman"/>
          <w:color w:val="000000"/>
          <w:sz w:val="28"/>
          <w:szCs w:val="28"/>
        </w:rPr>
        <w:t>ности, понятности и удобства получения) официальной информацией о состоянии конкурентной среды;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-оценка деятельности субъектов естественных монополий.</w:t>
      </w: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с целью повышения эффективности развития предпринимательской деятельности в Анжеро-Судженске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проведён опрос среди субъектов малого и среднего предпринимательства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573C0" w:rsidRDefault="00E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73C0" w:rsidRDefault="00B24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Определили наиболее существенные административные барьеры:</w:t>
      </w:r>
    </w:p>
    <w:p w:rsidR="00E573C0" w:rsidRDefault="00E57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f6"/>
        <w:tblW w:w="9463" w:type="dxa"/>
        <w:tblInd w:w="108" w:type="dxa"/>
        <w:tblLook w:val="04A0" w:firstRow="1" w:lastRow="0" w:firstColumn="1" w:lastColumn="0" w:noHBand="0" w:noVBand="1"/>
      </w:tblPr>
      <w:tblGrid>
        <w:gridCol w:w="6521"/>
        <w:gridCol w:w="2942"/>
      </w:tblGrid>
      <w:tr w:rsidR="00E573C0">
        <w:tc>
          <w:tcPr>
            <w:tcW w:w="6521" w:type="dxa"/>
          </w:tcPr>
          <w:p w:rsidR="00E573C0" w:rsidRDefault="00B249E5">
            <w:pP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2942" w:type="dxa"/>
          </w:tcPr>
          <w:p w:rsidR="00E573C0" w:rsidRDefault="00B249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11%</w:t>
            </w:r>
          </w:p>
        </w:tc>
      </w:tr>
      <w:tr w:rsidR="00E573C0">
        <w:tc>
          <w:tcPr>
            <w:tcW w:w="6521" w:type="dxa"/>
          </w:tcPr>
          <w:p w:rsidR="00E573C0" w:rsidRDefault="00B24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Нестабильность российского законодательства, регулирующего </w:t>
            </w:r>
            <w:r>
              <w:rPr>
                <w:color w:val="000000"/>
                <w:sz w:val="24"/>
                <w:szCs w:val="24"/>
              </w:rPr>
              <w:t>предпринимательскую деятельность</w:t>
            </w:r>
          </w:p>
        </w:tc>
        <w:tc>
          <w:tcPr>
            <w:tcW w:w="2942" w:type="dxa"/>
          </w:tcPr>
          <w:p w:rsidR="00E573C0" w:rsidRDefault="00B249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17%</w:t>
            </w:r>
          </w:p>
        </w:tc>
      </w:tr>
      <w:tr w:rsidR="00E573C0">
        <w:tc>
          <w:tcPr>
            <w:tcW w:w="6521" w:type="dxa"/>
          </w:tcPr>
          <w:p w:rsidR="00E573C0" w:rsidRDefault="00B249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2942" w:type="dxa"/>
          </w:tcPr>
          <w:p w:rsidR="00E573C0" w:rsidRDefault="00B249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10%</w:t>
            </w:r>
          </w:p>
        </w:tc>
      </w:tr>
      <w:tr w:rsidR="00E573C0">
        <w:tc>
          <w:tcPr>
            <w:tcW w:w="6521" w:type="dxa"/>
          </w:tcPr>
          <w:p w:rsidR="00E573C0" w:rsidRDefault="00B24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Высокие налоги</w:t>
            </w:r>
          </w:p>
        </w:tc>
        <w:tc>
          <w:tcPr>
            <w:tcW w:w="2942" w:type="dxa"/>
          </w:tcPr>
          <w:p w:rsidR="00E573C0" w:rsidRDefault="00B249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46%</w:t>
            </w:r>
          </w:p>
        </w:tc>
      </w:tr>
      <w:tr w:rsidR="00E573C0">
        <w:tc>
          <w:tcPr>
            <w:tcW w:w="6521" w:type="dxa"/>
          </w:tcPr>
          <w:p w:rsidR="00E573C0" w:rsidRDefault="00B249E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 ограничений</w:t>
            </w:r>
          </w:p>
        </w:tc>
        <w:tc>
          <w:tcPr>
            <w:tcW w:w="2942" w:type="dxa"/>
          </w:tcPr>
          <w:p w:rsidR="00E573C0" w:rsidRDefault="00B249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16%</w:t>
            </w:r>
          </w:p>
        </w:tc>
      </w:tr>
    </w:tbl>
    <w:p w:rsidR="00E573C0" w:rsidRDefault="00E57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3C0" w:rsidRDefault="00B24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состояния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развития предпринимательской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 выявить основные проблемы, с которыми сталкив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 предприниматели, с целью принятия управленческих решений и разработки рекомендаций по развитию конкуренции и формированию благоприятного предпринимательского климата в Анжеро-Судженском городском округе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E573C0" w:rsidRDefault="00B249E5">
      <w:pPr>
        <w:pStyle w:val="1"/>
        <w:keepNext w:val="0"/>
        <w:keepLines w:val="0"/>
        <w:pageBreakBefore w:val="0"/>
        <w:widowControl w:val="0"/>
        <w:tabs>
          <w:tab w:val="left" w:pos="-1191"/>
          <w:tab w:val="left" w:pos="-283"/>
          <w:tab w:val="left" w:pos="1247"/>
        </w:tabs>
        <w:spacing w:before="0" w:after="0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</w:t>
      </w:r>
    </w:p>
    <w:p w:rsidR="00E573C0" w:rsidRDefault="00B249E5">
      <w:pPr>
        <w:pStyle w:val="a9"/>
        <w:widowControl w:val="0"/>
        <w:spacing w:before="0" w:after="0"/>
        <w:rPr>
          <w:color w:val="000000"/>
        </w:rPr>
      </w:pPr>
      <w:r>
        <w:rPr>
          <w:color w:val="000000"/>
        </w:rPr>
        <w:t xml:space="preserve">Отчет о достижении целевых </w:t>
      </w:r>
      <w:r>
        <w:rPr>
          <w:color w:val="000000"/>
        </w:rPr>
        <w:t>показателей по содействию развитию конкуренции на территории Анжеро-Судженского городского округа за 2024 год</w:t>
      </w:r>
    </w:p>
    <w:tbl>
      <w:tblPr>
        <w:tblW w:w="9641" w:type="dxa"/>
        <w:tblInd w:w="-2" w:type="dxa"/>
        <w:tblLook w:val="0000" w:firstRow="0" w:lastRow="0" w:firstColumn="0" w:lastColumn="0" w:noHBand="0" w:noVBand="0"/>
      </w:tblPr>
      <w:tblGrid>
        <w:gridCol w:w="392"/>
        <w:gridCol w:w="2587"/>
        <w:gridCol w:w="1246"/>
        <w:gridCol w:w="3181"/>
        <w:gridCol w:w="1094"/>
        <w:gridCol w:w="1141"/>
      </w:tblGrid>
      <w:tr w:rsidR="00E573C0">
        <w:trPr>
          <w:trHeight w:val="353"/>
          <w:tblHeader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ind w:left="-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 «дорожной карты»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166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Целевые значения показателя</w:t>
            </w:r>
          </w:p>
        </w:tc>
      </w:tr>
      <w:tr w:rsidR="00E573C0">
        <w:trPr>
          <w:trHeight w:val="261"/>
          <w:tblHeader/>
        </w:trPr>
        <w:tc>
          <w:tcPr>
            <w:tcW w:w="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2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3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166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E573C0">
        <w:trPr>
          <w:trHeight w:val="8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условий для развития услуг по предоставлению доступа в информационно-телекоммуникационную сеть «Интернет»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303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Рынок оказания услуг по перевозке пассажиров автомобильным транспортом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муниципальным маршрутам регулярных перевозок</w:t>
            </w:r>
          </w:p>
        </w:tc>
      </w:tr>
      <w:tr w:rsidR="00E573C0">
        <w:trPr>
          <w:trHeight w:val="287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Ведение и поддержание в актуальном состоянии реестра муниципальных маршрутов регулярных перевозок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организации частной формы собственности в сфере оказания услуг по перевозке пассажиров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автомобильным транспортом по межмуниципальным маршрутам регулярных перевозок, процент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пассажиропотока и потребностей на территории Анжеро-Судженского городского округа в корректировке существующей маршрутной сети и организации новых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маршрутов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открытых аукционов в электронной форме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соблюдением установленных принципов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крытости, прозрачности и создания равных условий для обеспечения конкуренции между участниками закупок 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3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</w:tr>
      <w:tr w:rsidR="00E573C0">
        <w:trPr>
          <w:trHeight w:val="17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Style w:val="a3"/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 Рынок услуг детского отдыха и оздоровления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конкурсных отборов на предоставление субсидии из бюджета Кемеровской области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Кузбасса на укрепление материально-технической базы учреждений отдыха детей и их оздоровления на территории Анжеро-Судженского городского округа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организации частной формы собственности в сфере детского отдыха и оздоровления, процент</w:t>
            </w:r>
          </w:p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 - 100%</w:t>
            </w:r>
          </w:p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- 100%</w:t>
            </w:r>
          </w:p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 - 100%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E573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учреждений отдыха и оздоровления детей на территории Анжеро-Судженского городского округа и направление информации для включения в реестр организаций отдыха и оздоровления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 Кемеровской области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организационно-методической и информационно - консультативной помощи организациям отдыха детей и их оздоровления всех форм собственности, в том числе по вопросам государственной поддержки субъектов малого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среднего бизнеса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</w:tr>
      <w:tr w:rsidR="00E573C0">
        <w:trPr>
          <w:trHeight w:val="120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услуг дополнительного образования детей</w:t>
            </w:r>
          </w:p>
        </w:tc>
      </w:tr>
      <w:tr w:rsidR="00E573C0">
        <w:trPr>
          <w:trHeight w:val="361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общедоступного навигатора дополнительного образования детей Анжеро-Судженского городского округа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организации частной формы собственности в сфере дополнительного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 детей, процент</w:t>
            </w:r>
          </w:p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 - 100%</w:t>
            </w:r>
          </w:p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- 100%</w:t>
            </w:r>
          </w:p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 - 100%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57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распространение системы персонифицированного финансирования дополнительного образования детей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31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информационно-методической и консультативной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помощи негосударственным организациям, осуществляющим образовательную деятельность по дополнительным общеобразовательным программам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3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услуг общего образования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численности частных общеобразовательных организаций, расположенных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Анжеро-Судженском городском округе, и численности детей, посещающих данные организации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организации частной формы собственности в сфере общего образования, процент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186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Рынок услуг среднего профессионального образования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Опубликование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официальном сайте Анжеро-Судженского городского округа информации о проведении конкурса по распределению контрольных цифр приема на обучение за счет бюджетных ассигнований областного бюджета между организациями, осуществляющими образовательную деятельно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 по образовательным программам среднего профессионального образования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организации частной формы собственности в сфере среднего профессионального образования, процент</w:t>
            </w:r>
          </w:p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 - 100%</w:t>
            </w:r>
          </w:p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- 100%</w:t>
            </w:r>
          </w:p>
          <w:p w:rsidR="00E573C0" w:rsidRDefault="00B24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 - 100%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Рынок услуг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дошкольного образования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субвенции на финансовое обеспечение получения дошкольного образования в частных дошкольных образовательных организациях, имеющих лицензию на право осуществления образовательной деятельности на территории Анжеро-Су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дженского городского округа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дошкольного образования, процент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медицинских услуг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реестра медицинских организаций, находящихся на территории Анжеро-Судженского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округа, участвующих в реализации территориальной программы обязательного медицинского страхования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медицинских услугах, оказываемых ГАУЗ АСГБ в рамках программы ОМС, размещённая в сети Интернет, процент</w:t>
            </w:r>
          </w:p>
          <w:p w:rsidR="00E573C0" w:rsidRDefault="00E573C0">
            <w:pPr>
              <w:tabs>
                <w:tab w:val="left" w:pos="1392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264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Рынок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ритуальных услуг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 и анализ ситуации в сфере оказания ритуальных услуг на территории Анжеро-Судженского городского округа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ритуальных услуг, процент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сбора и обобщения информации об организациях всех форм собственности, осуществляющих деятельность на рынке ритуальных услуг (за исключением деятельности по содержанию и благоустройству кладбищ) на территории Анжеро-Судженского городского округа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теплоснабжения (производство тепловой энергии)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Оформление правоустанавливающих документов на объекты теплоснабжения, постановка их на кадастровый учёт. Организация передачи указанных объектов в управление организациям частной формы собственности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основе концессионного соглашения или договора аренды. 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 обязательств.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частной формы собственности в сфере оказания услуг по теплоснабжению (производство тепловой энергии, процент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Актуализация схем теплоснабжения Анжеро-Судженского городского округа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поставки сжиженного газа в баллонах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информации на сайте Анжеро-Судженского городского округа о розничных ценах на сжиженный газ в баллонах, реализуемый населению для бытовых нужд.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поставке сжиженного газа в баллонах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процент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выполнения работ по благоустройству городской среды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Подготовка информационной базы об организациях, осуществляющих деятельность на рынке благоустройства городской среды, включая информацию о наличии хозяйствующих субъектов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государственным или муниципальным участием, находящихся на данном рынке.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благоустройству городской среды, процент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Разделение закупаемых работ (услуг) на рынке выполнения работ по благоустройству городской среды на большее количество лотов с уменьшением объёма работ при условии сохранения экономической целесообразности такого уменьшения. 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tabs>
                <w:tab w:val="left" w:pos="1392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средствах массовой информации для привлечения к торгам большего числа участников</w:t>
            </w: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E573C0"/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Снижение количества 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управления многоквартирным домом, утвержденными постановлением Правительства Российской Федерации 06.02.2006 № 75.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содержанию и текущему ремонту общего имущества собственников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помещений в многоквартирном доме, процент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рейтингования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организаций, оказывающих услуги по управлению многоквартирным домом на территории Анжеро-Судженского городского округа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13.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Рынок кадастровых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землеустроительных работ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публичных торгов или иных конкурентных процедур отбора исполнителей кадастровых и землеустроительных работ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организации частной формы собственности в сфере оказания услуг по кадастровым и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устроительных работам, процент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лёгкой промышленности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Содействие в участии представителей предприятий сферы лёгкой промышленности в выставках и ярмарках регионального значения. 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участия местных товаропроизводителей в областных акциях «Первое сентября – каждому школьнику» и школьных базарах, процент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Style w:val="ConsPlus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Оказание содействия субъектам деятельности в сфере лёгкой промышленности в развитии кооперационных связей, увеличении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объёмов сбыта продукции и повышении технологического уровня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E573C0"/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на рынке легкой промышленности в общем количестве организаций, осуществляющих деятельность на данном рынке, процент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Рынок туристических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услуг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рекламно-информационных туров для представителей туристского бизнеса и средств массовой информации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событийных и обменных мероприятий в сфере культуры и искусства, кол-во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Сфера наружной рекламы</w:t>
            </w:r>
          </w:p>
        </w:tc>
      </w:tr>
      <w:tr w:rsidR="00E573C0">
        <w:trPr>
          <w:trHeight w:val="1062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незаконных рекламных конструкций, выдача предписаний и организация работ по демонтажу на территории Анжеро-Судженского городского округа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организаций частной формы собственности в сфере предоставления услуг наружной рекламы, процент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573C0">
        <w:trPr>
          <w:trHeight w:val="28"/>
          <w:tblHeader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Рынок социальных услуг</w:t>
            </w:r>
          </w:p>
        </w:tc>
      </w:tr>
      <w:tr w:rsidR="00E573C0">
        <w:trPr>
          <w:trHeight w:val="1124"/>
          <w:tblHeader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3C0" w:rsidRDefault="00B249E5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 предоставлению социальных услуг частных организаций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негосударственных организаций социального обслуживания, предоставляющих социальные услуги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3C0" w:rsidRDefault="00B2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</w:tbl>
    <w:p w:rsidR="00E573C0" w:rsidRDefault="00E573C0">
      <w:pPr>
        <w:spacing w:after="0"/>
        <w:rPr>
          <w:color w:val="FF0000"/>
        </w:rPr>
      </w:pPr>
    </w:p>
    <w:sectPr w:rsidR="00E573C0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SimSun">
    <w:altName w:val="宋体"/>
    <w:panose1 w:val="02010600030101010101"/>
    <w:charset w:val="00"/>
    <w:family w:val="auto"/>
    <w:pitch w:val="default"/>
  </w:font>
  <w:font w:name="Basic Roman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C53"/>
    <w:multiLevelType w:val="hybridMultilevel"/>
    <w:tmpl w:val="B9D26076"/>
    <w:name w:val="Нумерованный список 10"/>
    <w:lvl w:ilvl="0" w:tplc="EC96EA36">
      <w:numFmt w:val="none"/>
      <w:lvlText w:val=""/>
      <w:lvlJc w:val="left"/>
      <w:pPr>
        <w:ind w:left="0" w:firstLine="0"/>
      </w:pPr>
    </w:lvl>
    <w:lvl w:ilvl="1" w:tplc="D7185652">
      <w:numFmt w:val="none"/>
      <w:lvlText w:val=""/>
      <w:lvlJc w:val="left"/>
      <w:pPr>
        <w:ind w:left="0" w:firstLine="0"/>
      </w:pPr>
    </w:lvl>
    <w:lvl w:ilvl="2" w:tplc="143CA1EC">
      <w:numFmt w:val="none"/>
      <w:lvlText w:val=""/>
      <w:lvlJc w:val="left"/>
      <w:pPr>
        <w:ind w:left="0" w:firstLine="0"/>
      </w:pPr>
    </w:lvl>
    <w:lvl w:ilvl="3" w:tplc="5B0AE678">
      <w:numFmt w:val="none"/>
      <w:lvlText w:val=""/>
      <w:lvlJc w:val="left"/>
      <w:pPr>
        <w:ind w:left="0" w:firstLine="0"/>
      </w:pPr>
    </w:lvl>
    <w:lvl w:ilvl="4" w:tplc="141E0B7C">
      <w:numFmt w:val="none"/>
      <w:lvlText w:val=""/>
      <w:lvlJc w:val="left"/>
      <w:pPr>
        <w:ind w:left="0" w:firstLine="0"/>
      </w:pPr>
    </w:lvl>
    <w:lvl w:ilvl="5" w:tplc="F78C7CB0">
      <w:numFmt w:val="none"/>
      <w:lvlText w:val=""/>
      <w:lvlJc w:val="left"/>
      <w:pPr>
        <w:ind w:left="0" w:firstLine="0"/>
      </w:pPr>
    </w:lvl>
    <w:lvl w:ilvl="6" w:tplc="FFE21268">
      <w:numFmt w:val="none"/>
      <w:lvlText w:val=""/>
      <w:lvlJc w:val="left"/>
      <w:pPr>
        <w:ind w:left="0" w:firstLine="0"/>
      </w:pPr>
    </w:lvl>
    <w:lvl w:ilvl="7" w:tplc="61CE9AD6">
      <w:numFmt w:val="none"/>
      <w:lvlText w:val=""/>
      <w:lvlJc w:val="left"/>
      <w:pPr>
        <w:ind w:left="0" w:firstLine="0"/>
      </w:pPr>
    </w:lvl>
    <w:lvl w:ilvl="8" w:tplc="8E8ACC56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AA442F8"/>
    <w:multiLevelType w:val="hybridMultilevel"/>
    <w:tmpl w:val="BF0CB67C"/>
    <w:name w:val="Нумерованный список 7"/>
    <w:lvl w:ilvl="0" w:tplc="4A3096D2">
      <w:start w:val="1"/>
      <w:numFmt w:val="decimal"/>
      <w:lvlText w:val="%1."/>
      <w:lvlJc w:val="left"/>
      <w:pPr>
        <w:ind w:left="1429" w:firstLine="0"/>
      </w:pPr>
    </w:lvl>
    <w:lvl w:ilvl="1" w:tplc="8F14994C">
      <w:start w:val="1"/>
      <w:numFmt w:val="lowerLetter"/>
      <w:lvlText w:val="%2."/>
      <w:lvlJc w:val="left"/>
      <w:pPr>
        <w:ind w:left="2149" w:firstLine="0"/>
      </w:pPr>
    </w:lvl>
    <w:lvl w:ilvl="2" w:tplc="7F3A5050">
      <w:start w:val="1"/>
      <w:numFmt w:val="lowerRoman"/>
      <w:lvlText w:val="%3."/>
      <w:lvlJc w:val="left"/>
      <w:pPr>
        <w:ind w:left="3049" w:firstLine="0"/>
      </w:pPr>
    </w:lvl>
    <w:lvl w:ilvl="3" w:tplc="63F07220">
      <w:start w:val="1"/>
      <w:numFmt w:val="decimal"/>
      <w:lvlText w:val="%4."/>
      <w:lvlJc w:val="left"/>
      <w:pPr>
        <w:ind w:left="3589" w:firstLine="0"/>
      </w:pPr>
    </w:lvl>
    <w:lvl w:ilvl="4" w:tplc="96CCB3BA">
      <w:start w:val="1"/>
      <w:numFmt w:val="lowerLetter"/>
      <w:lvlText w:val="%5."/>
      <w:lvlJc w:val="left"/>
      <w:pPr>
        <w:ind w:left="4309" w:firstLine="0"/>
      </w:pPr>
    </w:lvl>
    <w:lvl w:ilvl="5" w:tplc="553678A4">
      <w:start w:val="1"/>
      <w:numFmt w:val="lowerRoman"/>
      <w:lvlText w:val="%6."/>
      <w:lvlJc w:val="left"/>
      <w:pPr>
        <w:ind w:left="5209" w:firstLine="0"/>
      </w:pPr>
    </w:lvl>
    <w:lvl w:ilvl="6" w:tplc="9536DECA">
      <w:start w:val="1"/>
      <w:numFmt w:val="decimal"/>
      <w:lvlText w:val="%7."/>
      <w:lvlJc w:val="left"/>
      <w:pPr>
        <w:ind w:left="5749" w:firstLine="0"/>
      </w:pPr>
    </w:lvl>
    <w:lvl w:ilvl="7" w:tplc="68921798">
      <w:start w:val="1"/>
      <w:numFmt w:val="lowerLetter"/>
      <w:lvlText w:val="%8."/>
      <w:lvlJc w:val="left"/>
      <w:pPr>
        <w:ind w:left="6469" w:firstLine="0"/>
      </w:pPr>
    </w:lvl>
    <w:lvl w:ilvl="8" w:tplc="92C29FC2">
      <w:start w:val="1"/>
      <w:numFmt w:val="lowerRoman"/>
      <w:lvlText w:val="%9."/>
      <w:lvlJc w:val="left"/>
      <w:pPr>
        <w:ind w:left="7369" w:firstLine="0"/>
      </w:pPr>
    </w:lvl>
  </w:abstractNum>
  <w:abstractNum w:abstractNumId="2" w15:restartNumberingAfterBreak="0">
    <w:nsid w:val="24BB4C7F"/>
    <w:multiLevelType w:val="hybridMultilevel"/>
    <w:tmpl w:val="D08AD406"/>
    <w:name w:val="Нумерованный список 6"/>
    <w:lvl w:ilvl="0" w:tplc="70144FF0">
      <w:start w:val="1"/>
      <w:numFmt w:val="decimal"/>
      <w:lvlText w:val="%1."/>
      <w:lvlJc w:val="left"/>
      <w:pPr>
        <w:ind w:left="1429" w:firstLine="0"/>
      </w:pPr>
    </w:lvl>
    <w:lvl w:ilvl="1" w:tplc="0884F200">
      <w:start w:val="1"/>
      <w:numFmt w:val="lowerLetter"/>
      <w:lvlText w:val="%2."/>
      <w:lvlJc w:val="left"/>
      <w:pPr>
        <w:ind w:left="1080" w:firstLine="0"/>
      </w:pPr>
    </w:lvl>
    <w:lvl w:ilvl="2" w:tplc="987A1E9C">
      <w:start w:val="1"/>
      <w:numFmt w:val="lowerRoman"/>
      <w:lvlText w:val="%3."/>
      <w:lvlJc w:val="left"/>
      <w:pPr>
        <w:ind w:left="1980" w:firstLine="0"/>
      </w:pPr>
    </w:lvl>
    <w:lvl w:ilvl="3" w:tplc="90A0E364">
      <w:start w:val="1"/>
      <w:numFmt w:val="decimal"/>
      <w:lvlText w:val="%4."/>
      <w:lvlJc w:val="left"/>
      <w:pPr>
        <w:ind w:left="2520" w:firstLine="0"/>
      </w:pPr>
    </w:lvl>
    <w:lvl w:ilvl="4" w:tplc="098ECD92">
      <w:start w:val="1"/>
      <w:numFmt w:val="lowerLetter"/>
      <w:lvlText w:val="%5."/>
      <w:lvlJc w:val="left"/>
      <w:pPr>
        <w:ind w:left="3240" w:firstLine="0"/>
      </w:pPr>
    </w:lvl>
    <w:lvl w:ilvl="5" w:tplc="E4448088">
      <w:start w:val="1"/>
      <w:numFmt w:val="lowerRoman"/>
      <w:lvlText w:val="%6."/>
      <w:lvlJc w:val="left"/>
      <w:pPr>
        <w:ind w:left="4140" w:firstLine="0"/>
      </w:pPr>
    </w:lvl>
    <w:lvl w:ilvl="6" w:tplc="498047FC">
      <w:start w:val="1"/>
      <w:numFmt w:val="decimal"/>
      <w:lvlText w:val="%7."/>
      <w:lvlJc w:val="left"/>
      <w:pPr>
        <w:ind w:left="4680" w:firstLine="0"/>
      </w:pPr>
    </w:lvl>
    <w:lvl w:ilvl="7" w:tplc="F2566038">
      <w:start w:val="1"/>
      <w:numFmt w:val="lowerLetter"/>
      <w:lvlText w:val="%8."/>
      <w:lvlJc w:val="left"/>
      <w:pPr>
        <w:ind w:left="5400" w:firstLine="0"/>
      </w:pPr>
    </w:lvl>
    <w:lvl w:ilvl="8" w:tplc="995AB406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88114DB"/>
    <w:multiLevelType w:val="hybridMultilevel"/>
    <w:tmpl w:val="AB324A20"/>
    <w:name w:val="Нумерованный список 4"/>
    <w:lvl w:ilvl="0" w:tplc="12DCDF20">
      <w:start w:val="1"/>
      <w:numFmt w:val="decimal"/>
      <w:lvlText w:val="%1."/>
      <w:lvlJc w:val="left"/>
      <w:pPr>
        <w:ind w:left="820" w:firstLine="0"/>
      </w:pPr>
    </w:lvl>
    <w:lvl w:ilvl="1" w:tplc="857C7148">
      <w:start w:val="1"/>
      <w:numFmt w:val="lowerLetter"/>
      <w:lvlText w:val="%2."/>
      <w:lvlJc w:val="left"/>
      <w:pPr>
        <w:ind w:left="1540" w:firstLine="0"/>
      </w:pPr>
    </w:lvl>
    <w:lvl w:ilvl="2" w:tplc="68E46C7A">
      <w:start w:val="1"/>
      <w:numFmt w:val="lowerRoman"/>
      <w:lvlText w:val="%3."/>
      <w:lvlJc w:val="left"/>
      <w:pPr>
        <w:ind w:left="2440" w:firstLine="0"/>
      </w:pPr>
    </w:lvl>
    <w:lvl w:ilvl="3" w:tplc="089ED6DE">
      <w:start w:val="1"/>
      <w:numFmt w:val="decimal"/>
      <w:lvlText w:val="%4."/>
      <w:lvlJc w:val="left"/>
      <w:pPr>
        <w:ind w:left="2980" w:firstLine="0"/>
      </w:pPr>
    </w:lvl>
    <w:lvl w:ilvl="4" w:tplc="BE9CFED6">
      <w:start w:val="1"/>
      <w:numFmt w:val="lowerLetter"/>
      <w:lvlText w:val="%5."/>
      <w:lvlJc w:val="left"/>
      <w:pPr>
        <w:ind w:left="3700" w:firstLine="0"/>
      </w:pPr>
    </w:lvl>
    <w:lvl w:ilvl="5" w:tplc="1A22D4AE">
      <w:start w:val="1"/>
      <w:numFmt w:val="lowerRoman"/>
      <w:lvlText w:val="%6."/>
      <w:lvlJc w:val="left"/>
      <w:pPr>
        <w:ind w:left="4600" w:firstLine="0"/>
      </w:pPr>
    </w:lvl>
    <w:lvl w:ilvl="6" w:tplc="C6F07D18">
      <w:start w:val="1"/>
      <w:numFmt w:val="decimal"/>
      <w:lvlText w:val="%7."/>
      <w:lvlJc w:val="left"/>
      <w:pPr>
        <w:ind w:left="5140" w:firstLine="0"/>
      </w:pPr>
    </w:lvl>
    <w:lvl w:ilvl="7" w:tplc="70C84606">
      <w:start w:val="1"/>
      <w:numFmt w:val="lowerLetter"/>
      <w:lvlText w:val="%8."/>
      <w:lvlJc w:val="left"/>
      <w:pPr>
        <w:ind w:left="5860" w:firstLine="0"/>
      </w:pPr>
    </w:lvl>
    <w:lvl w:ilvl="8" w:tplc="AB7E8FD4">
      <w:start w:val="1"/>
      <w:numFmt w:val="lowerRoman"/>
      <w:lvlText w:val="%9."/>
      <w:lvlJc w:val="left"/>
      <w:pPr>
        <w:ind w:left="6760" w:firstLine="0"/>
      </w:pPr>
    </w:lvl>
  </w:abstractNum>
  <w:abstractNum w:abstractNumId="4" w15:restartNumberingAfterBreak="0">
    <w:nsid w:val="31C51575"/>
    <w:multiLevelType w:val="hybridMultilevel"/>
    <w:tmpl w:val="D4BA8BA2"/>
    <w:name w:val="Нумерованный список 8"/>
    <w:lvl w:ilvl="0" w:tplc="36AE300A">
      <w:start w:val="1"/>
      <w:numFmt w:val="decimal"/>
      <w:lvlText w:val="%1."/>
      <w:lvlJc w:val="left"/>
      <w:pPr>
        <w:ind w:left="360" w:firstLine="0"/>
      </w:pPr>
    </w:lvl>
    <w:lvl w:ilvl="1" w:tplc="75E67CD6">
      <w:start w:val="1"/>
      <w:numFmt w:val="lowerLetter"/>
      <w:lvlText w:val="%2."/>
      <w:lvlJc w:val="left"/>
      <w:pPr>
        <w:ind w:left="1080" w:firstLine="0"/>
      </w:pPr>
    </w:lvl>
    <w:lvl w:ilvl="2" w:tplc="7D5CAD16">
      <w:start w:val="1"/>
      <w:numFmt w:val="lowerRoman"/>
      <w:lvlText w:val="%3."/>
      <w:lvlJc w:val="left"/>
      <w:pPr>
        <w:ind w:left="1980" w:firstLine="0"/>
      </w:pPr>
    </w:lvl>
    <w:lvl w:ilvl="3" w:tplc="A84ACB3A">
      <w:start w:val="1"/>
      <w:numFmt w:val="decimal"/>
      <w:lvlText w:val="%4."/>
      <w:lvlJc w:val="left"/>
      <w:pPr>
        <w:ind w:left="2520" w:firstLine="0"/>
      </w:pPr>
    </w:lvl>
    <w:lvl w:ilvl="4" w:tplc="F446D764">
      <w:start w:val="1"/>
      <w:numFmt w:val="lowerLetter"/>
      <w:lvlText w:val="%5."/>
      <w:lvlJc w:val="left"/>
      <w:pPr>
        <w:ind w:left="3240" w:firstLine="0"/>
      </w:pPr>
    </w:lvl>
    <w:lvl w:ilvl="5" w:tplc="B3F2DA96">
      <w:start w:val="1"/>
      <w:numFmt w:val="lowerRoman"/>
      <w:lvlText w:val="%6."/>
      <w:lvlJc w:val="left"/>
      <w:pPr>
        <w:ind w:left="4140" w:firstLine="0"/>
      </w:pPr>
    </w:lvl>
    <w:lvl w:ilvl="6" w:tplc="36083CAC">
      <w:start w:val="1"/>
      <w:numFmt w:val="decimal"/>
      <w:lvlText w:val="%7."/>
      <w:lvlJc w:val="left"/>
      <w:pPr>
        <w:ind w:left="4680" w:firstLine="0"/>
      </w:pPr>
    </w:lvl>
    <w:lvl w:ilvl="7" w:tplc="0DBADDAC">
      <w:start w:val="1"/>
      <w:numFmt w:val="lowerLetter"/>
      <w:lvlText w:val="%8."/>
      <w:lvlJc w:val="left"/>
      <w:pPr>
        <w:ind w:left="5400" w:firstLine="0"/>
      </w:pPr>
    </w:lvl>
    <w:lvl w:ilvl="8" w:tplc="D2E0732A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56F21E5"/>
    <w:multiLevelType w:val="hybridMultilevel"/>
    <w:tmpl w:val="0C4862F4"/>
    <w:lvl w:ilvl="0" w:tplc="81422D0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FD467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42AD2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44E641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AD8C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EBC8F1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EA6EBA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260CCE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6DA2BC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0E6EE8"/>
    <w:multiLevelType w:val="hybridMultilevel"/>
    <w:tmpl w:val="0262E8E6"/>
    <w:name w:val="Нумерованный список 5"/>
    <w:lvl w:ilvl="0" w:tplc="7B3ABD24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82A6ABE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F42CCC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382CB9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1A0F03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42CF9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612230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E7265E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8B80A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7" w15:restartNumberingAfterBreak="0">
    <w:nsid w:val="47135F91"/>
    <w:multiLevelType w:val="hybridMultilevel"/>
    <w:tmpl w:val="052EF6E4"/>
    <w:name w:val="Нумерованный список 1"/>
    <w:lvl w:ilvl="0" w:tplc="1E947036">
      <w:start w:val="1"/>
      <w:numFmt w:val="decimal"/>
      <w:lvlText w:val="%1."/>
      <w:lvlJc w:val="left"/>
      <w:pPr>
        <w:ind w:left="1069" w:firstLine="0"/>
      </w:pPr>
    </w:lvl>
    <w:lvl w:ilvl="1" w:tplc="2C1CBB48">
      <w:start w:val="1"/>
      <w:numFmt w:val="lowerLetter"/>
      <w:lvlText w:val="%2."/>
      <w:lvlJc w:val="left"/>
      <w:pPr>
        <w:ind w:left="1789" w:firstLine="0"/>
      </w:pPr>
    </w:lvl>
    <w:lvl w:ilvl="2" w:tplc="415E2AE8">
      <w:start w:val="1"/>
      <w:numFmt w:val="lowerRoman"/>
      <w:lvlText w:val="%3."/>
      <w:lvlJc w:val="left"/>
      <w:pPr>
        <w:ind w:left="2689" w:firstLine="0"/>
      </w:pPr>
    </w:lvl>
    <w:lvl w:ilvl="3" w:tplc="8CF04598">
      <w:start w:val="1"/>
      <w:numFmt w:val="decimal"/>
      <w:lvlText w:val="%4."/>
      <w:lvlJc w:val="left"/>
      <w:pPr>
        <w:ind w:left="3229" w:firstLine="0"/>
      </w:pPr>
    </w:lvl>
    <w:lvl w:ilvl="4" w:tplc="2C82F830">
      <w:start w:val="1"/>
      <w:numFmt w:val="lowerLetter"/>
      <w:lvlText w:val="%5."/>
      <w:lvlJc w:val="left"/>
      <w:pPr>
        <w:ind w:left="3949" w:firstLine="0"/>
      </w:pPr>
    </w:lvl>
    <w:lvl w:ilvl="5" w:tplc="E3DE6DEE">
      <w:start w:val="1"/>
      <w:numFmt w:val="lowerRoman"/>
      <w:lvlText w:val="%6."/>
      <w:lvlJc w:val="left"/>
      <w:pPr>
        <w:ind w:left="4849" w:firstLine="0"/>
      </w:pPr>
    </w:lvl>
    <w:lvl w:ilvl="6" w:tplc="C3649032">
      <w:start w:val="1"/>
      <w:numFmt w:val="decimal"/>
      <w:lvlText w:val="%7."/>
      <w:lvlJc w:val="left"/>
      <w:pPr>
        <w:ind w:left="5389" w:firstLine="0"/>
      </w:pPr>
    </w:lvl>
    <w:lvl w:ilvl="7" w:tplc="4B42B6CA">
      <w:start w:val="1"/>
      <w:numFmt w:val="lowerLetter"/>
      <w:lvlText w:val="%8."/>
      <w:lvlJc w:val="left"/>
      <w:pPr>
        <w:ind w:left="6109" w:firstLine="0"/>
      </w:pPr>
    </w:lvl>
    <w:lvl w:ilvl="8" w:tplc="F092CAB2">
      <w:start w:val="1"/>
      <w:numFmt w:val="lowerRoman"/>
      <w:lvlText w:val="%9."/>
      <w:lvlJc w:val="left"/>
      <w:pPr>
        <w:ind w:left="7009" w:firstLine="0"/>
      </w:pPr>
    </w:lvl>
  </w:abstractNum>
  <w:abstractNum w:abstractNumId="8" w15:restartNumberingAfterBreak="0">
    <w:nsid w:val="50DD798C"/>
    <w:multiLevelType w:val="multilevel"/>
    <w:tmpl w:val="CF768E1E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ind w:left="1418" w:firstLine="0"/>
      </w:pPr>
    </w:lvl>
    <w:lvl w:ilvl="3">
      <w:start w:val="1"/>
      <w:numFmt w:val="decimal"/>
      <w:lvlText w:val="%1.%2.%3.%4."/>
      <w:lvlJc w:val="left"/>
      <w:pPr>
        <w:ind w:left="2127" w:firstLine="0"/>
      </w:pPr>
    </w:lvl>
    <w:lvl w:ilvl="4">
      <w:start w:val="1"/>
      <w:numFmt w:val="decimal"/>
      <w:lvlText w:val="%1.%2.%3.%4.%5."/>
      <w:lvlJc w:val="left"/>
      <w:pPr>
        <w:ind w:left="2836" w:firstLine="0"/>
      </w:pPr>
    </w:lvl>
    <w:lvl w:ilvl="5">
      <w:start w:val="1"/>
      <w:numFmt w:val="decimal"/>
      <w:lvlText w:val="%1.%2.%3.%4.%5.%6."/>
      <w:lvlJc w:val="left"/>
      <w:pPr>
        <w:ind w:left="3545" w:firstLine="0"/>
      </w:pPr>
    </w:lvl>
    <w:lvl w:ilvl="6">
      <w:start w:val="1"/>
      <w:numFmt w:val="decimal"/>
      <w:lvlText w:val="%1.%2.%3.%4.%5.%6.%7."/>
      <w:lvlJc w:val="left"/>
      <w:pPr>
        <w:ind w:left="4254" w:firstLine="0"/>
      </w:pPr>
    </w:lvl>
    <w:lvl w:ilvl="7">
      <w:start w:val="1"/>
      <w:numFmt w:val="decimal"/>
      <w:lvlText w:val="%1.%2.%3.%4.%5.%6.%7.%8."/>
      <w:lvlJc w:val="left"/>
      <w:pPr>
        <w:ind w:left="4963" w:firstLine="0"/>
      </w:pPr>
    </w:lvl>
    <w:lvl w:ilvl="8">
      <w:start w:val="1"/>
      <w:numFmt w:val="decimal"/>
      <w:lvlText w:val="%1.%2.%3.%4.%5.%6.%7.%8.%9."/>
      <w:lvlJc w:val="left"/>
      <w:pPr>
        <w:ind w:left="5672" w:firstLine="0"/>
      </w:pPr>
    </w:lvl>
  </w:abstractNum>
  <w:abstractNum w:abstractNumId="9" w15:restartNumberingAfterBreak="0">
    <w:nsid w:val="545C0FF8"/>
    <w:multiLevelType w:val="multilevel"/>
    <w:tmpl w:val="89980D50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  <w:rPr>
        <w:rFonts w:cs="Calibri"/>
        <w:sz w:val="22"/>
      </w:rPr>
    </w:lvl>
    <w:lvl w:ilvl="1">
      <w:start w:val="4"/>
      <w:numFmt w:val="decimal"/>
      <w:lvlText w:val="%1.%2."/>
      <w:lvlJc w:val="left"/>
      <w:pPr>
        <w:ind w:left="1429" w:firstLine="0"/>
      </w:pPr>
      <w:rPr>
        <w:rFonts w:cs="Calibri"/>
        <w:sz w:val="22"/>
      </w:rPr>
    </w:lvl>
    <w:lvl w:ilvl="2">
      <w:start w:val="1"/>
      <w:numFmt w:val="decimal"/>
      <w:lvlText w:val="%1.%2.%3."/>
      <w:lvlJc w:val="left"/>
      <w:pPr>
        <w:ind w:left="2858" w:firstLine="0"/>
      </w:pPr>
      <w:rPr>
        <w:rFonts w:cs="Calibri"/>
        <w:sz w:val="22"/>
      </w:rPr>
    </w:lvl>
    <w:lvl w:ilvl="3">
      <w:start w:val="1"/>
      <w:numFmt w:val="decimal"/>
      <w:lvlText w:val="%1.%2.%3.%4."/>
      <w:lvlJc w:val="left"/>
      <w:pPr>
        <w:ind w:left="4287" w:firstLine="0"/>
      </w:pPr>
      <w:rPr>
        <w:rFonts w:cs="Calibri"/>
        <w:sz w:val="22"/>
      </w:rPr>
    </w:lvl>
    <w:lvl w:ilvl="4">
      <w:start w:val="1"/>
      <w:numFmt w:val="decimal"/>
      <w:lvlText w:val="%1.%2.%3.%4.%5."/>
      <w:lvlJc w:val="left"/>
      <w:pPr>
        <w:ind w:left="5716" w:firstLine="0"/>
      </w:pPr>
      <w:rPr>
        <w:rFonts w:cs="Calibri"/>
        <w:sz w:val="22"/>
      </w:rPr>
    </w:lvl>
    <w:lvl w:ilvl="5">
      <w:start w:val="1"/>
      <w:numFmt w:val="decimal"/>
      <w:lvlText w:val="%1.%2.%3.%4.%5.%6."/>
      <w:lvlJc w:val="left"/>
      <w:pPr>
        <w:ind w:left="7145" w:firstLine="0"/>
      </w:pPr>
      <w:rPr>
        <w:rFonts w:cs="Calibri"/>
        <w:sz w:val="22"/>
      </w:rPr>
    </w:lvl>
    <w:lvl w:ilvl="6">
      <w:start w:val="1"/>
      <w:numFmt w:val="decimal"/>
      <w:lvlText w:val="%1.%2.%3.%4.%5.%6.%7."/>
      <w:lvlJc w:val="left"/>
      <w:pPr>
        <w:ind w:left="8574" w:firstLine="0"/>
      </w:pPr>
      <w:rPr>
        <w:rFonts w:cs="Calibri"/>
        <w:sz w:val="22"/>
      </w:rPr>
    </w:lvl>
    <w:lvl w:ilvl="7">
      <w:start w:val="1"/>
      <w:numFmt w:val="decimal"/>
      <w:lvlText w:val="%1.%2.%3.%4.%5.%6.%7.%8."/>
      <w:lvlJc w:val="left"/>
      <w:pPr>
        <w:ind w:left="10003" w:firstLine="0"/>
      </w:pPr>
      <w:rPr>
        <w:rFonts w:cs="Calibri"/>
        <w:sz w:val="22"/>
      </w:rPr>
    </w:lvl>
    <w:lvl w:ilvl="8">
      <w:start w:val="1"/>
      <w:numFmt w:val="decimal"/>
      <w:lvlText w:val="%1.%2.%3.%4.%5.%6.%7.%8.%9."/>
      <w:lvlJc w:val="left"/>
      <w:pPr>
        <w:ind w:left="11432" w:firstLine="0"/>
      </w:pPr>
      <w:rPr>
        <w:rFonts w:cs="Calibri"/>
        <w:sz w:val="22"/>
      </w:rPr>
    </w:lvl>
  </w:abstractNum>
  <w:abstractNum w:abstractNumId="10" w15:restartNumberingAfterBreak="0">
    <w:nsid w:val="5B4A6CC6"/>
    <w:multiLevelType w:val="hybridMultilevel"/>
    <w:tmpl w:val="6CCEA3B2"/>
    <w:name w:val="Нумерованный список 9"/>
    <w:lvl w:ilvl="0" w:tplc="8CC4AF3E">
      <w:start w:val="3"/>
      <w:numFmt w:val="decimal"/>
      <w:lvlText w:val="%1."/>
      <w:lvlJc w:val="left"/>
      <w:pPr>
        <w:ind w:left="720" w:firstLine="0"/>
      </w:pPr>
      <w:rPr>
        <w:rFonts w:eastAsia="Times New Roman"/>
        <w:b w:val="0"/>
        <w:color w:val="auto"/>
        <w:sz w:val="20"/>
      </w:rPr>
    </w:lvl>
    <w:lvl w:ilvl="1" w:tplc="825A5A94">
      <w:start w:val="1"/>
      <w:numFmt w:val="lowerLetter"/>
      <w:lvlText w:val="%2."/>
      <w:lvlJc w:val="left"/>
      <w:pPr>
        <w:ind w:left="1440" w:firstLine="0"/>
      </w:pPr>
    </w:lvl>
    <w:lvl w:ilvl="2" w:tplc="74BCB004">
      <w:start w:val="1"/>
      <w:numFmt w:val="lowerRoman"/>
      <w:lvlText w:val="%3."/>
      <w:lvlJc w:val="left"/>
      <w:pPr>
        <w:ind w:left="2340" w:firstLine="0"/>
      </w:pPr>
    </w:lvl>
    <w:lvl w:ilvl="3" w:tplc="228EFEB6">
      <w:start w:val="1"/>
      <w:numFmt w:val="decimal"/>
      <w:lvlText w:val="%4."/>
      <w:lvlJc w:val="left"/>
      <w:pPr>
        <w:ind w:left="2880" w:firstLine="0"/>
      </w:pPr>
    </w:lvl>
    <w:lvl w:ilvl="4" w:tplc="12908ACA">
      <w:start w:val="1"/>
      <w:numFmt w:val="lowerLetter"/>
      <w:lvlText w:val="%5."/>
      <w:lvlJc w:val="left"/>
      <w:pPr>
        <w:ind w:left="3600" w:firstLine="0"/>
      </w:pPr>
    </w:lvl>
    <w:lvl w:ilvl="5" w:tplc="F41211F0">
      <w:start w:val="1"/>
      <w:numFmt w:val="lowerRoman"/>
      <w:lvlText w:val="%6."/>
      <w:lvlJc w:val="left"/>
      <w:pPr>
        <w:ind w:left="4500" w:firstLine="0"/>
      </w:pPr>
    </w:lvl>
    <w:lvl w:ilvl="6" w:tplc="A98AC7AC">
      <w:start w:val="1"/>
      <w:numFmt w:val="decimal"/>
      <w:lvlText w:val="%7."/>
      <w:lvlJc w:val="left"/>
      <w:pPr>
        <w:ind w:left="5040" w:firstLine="0"/>
      </w:pPr>
    </w:lvl>
    <w:lvl w:ilvl="7" w:tplc="BC5819E0">
      <w:start w:val="1"/>
      <w:numFmt w:val="lowerLetter"/>
      <w:lvlText w:val="%8."/>
      <w:lvlJc w:val="left"/>
      <w:pPr>
        <w:ind w:left="5760" w:firstLine="0"/>
      </w:pPr>
    </w:lvl>
    <w:lvl w:ilvl="8" w:tplc="F1C6DEF2">
      <w:start w:val="1"/>
      <w:numFmt w:val="lowerRoman"/>
      <w:lvlText w:val="%9."/>
      <w:lvlJc w:val="left"/>
      <w:pPr>
        <w:ind w:left="6660" w:firstLine="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B249E5"/>
    <w:rsid w:val="00E5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82EC3-1582-4016-BB2B-2CBEA550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pageBreakBefore/>
      <w:spacing w:before="480" w:after="120"/>
      <w:contextualSpacing/>
      <w:jc w:val="center"/>
      <w:outlineLvl w:val="0"/>
    </w:pPr>
    <w:rPr>
      <w:rFonts w:ascii="Times New Roman" w:eastAsia="Cambria" w:hAnsi="Times New Roman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spacing w:after="0" w:line="240" w:lineRule="auto"/>
    </w:pPr>
    <w:rPr>
      <w:color w:val="000000"/>
      <w:sz w:val="24"/>
      <w:szCs w:val="24"/>
    </w:rPr>
  </w:style>
  <w:style w:type="paragraph" w:customStyle="1" w:styleId="10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lang w:eastAsia="ru-RU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 Spacing"/>
    <w:qFormat/>
    <w:pPr>
      <w:spacing w:after="0" w:line="240" w:lineRule="auto"/>
    </w:pPr>
  </w:style>
  <w:style w:type="paragraph" w:styleId="a9">
    <w:name w:val="Title"/>
    <w:basedOn w:val="a"/>
    <w:next w:val="a"/>
    <w:qFormat/>
    <w:pPr>
      <w:spacing w:before="360" w:after="300" w:line="240" w:lineRule="auto"/>
      <w:jc w:val="center"/>
    </w:pPr>
    <w:rPr>
      <w:rFonts w:ascii="Times New Roman" w:eastAsia="Cambria" w:hAnsi="Times New Roman" w:cs="Cambria"/>
      <w:b/>
      <w:spacing w:val="5"/>
      <w:kern w:val="1"/>
      <w:sz w:val="28"/>
      <w:szCs w:val="52"/>
    </w:rPr>
  </w:style>
  <w:style w:type="paragraph" w:styleId="aa">
    <w:name w:val="Subtitle"/>
    <w:basedOn w:val="a"/>
    <w:next w:val="a"/>
    <w:qFormat/>
    <w:pPr>
      <w:spacing w:before="360" w:after="300" w:line="240" w:lineRule="auto"/>
      <w:jc w:val="center"/>
    </w:pPr>
    <w:rPr>
      <w:rFonts w:ascii="Times New Roman" w:eastAsia="Cambria" w:hAnsi="Times New Roman" w:cs="Cambria"/>
      <w:b/>
      <w:iCs/>
      <w:color w:val="000000"/>
      <w:spacing w:val="15"/>
      <w:sz w:val="28"/>
      <w:szCs w:val="24"/>
    </w:rPr>
  </w:style>
  <w:style w:type="paragraph" w:styleId="ab">
    <w:name w:val="Block Text"/>
    <w:basedOn w:val="a"/>
    <w:qFormat/>
    <w:pPr>
      <w:widowControl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qFormat/>
    <w:pPr>
      <w:spacing w:after="120"/>
    </w:pPr>
  </w:style>
  <w:style w:type="character" w:customStyle="1" w:styleId="ad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</w:style>
  <w:style w:type="character" w:customStyle="1" w:styleId="12">
    <w:name w:val="Знак примечания1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sz w:val="20"/>
      <w:szCs w:val="20"/>
    </w:rPr>
  </w:style>
  <w:style w:type="character" w:customStyle="1" w:styleId="af">
    <w:name w:val="Тема примечания Знак"/>
    <w:basedOn w:val="ae"/>
    <w:rPr>
      <w:b/>
      <w:bCs/>
      <w:sz w:val="20"/>
      <w:szCs w:val="20"/>
    </w:rPr>
  </w:style>
  <w:style w:type="character" w:styleId="af0">
    <w:name w:val="Hyperlink"/>
    <w:basedOn w:val="a0"/>
    <w:rPr>
      <w:color w:val="0000FF"/>
      <w:u w:val="single"/>
    </w:rPr>
  </w:style>
  <w:style w:type="character" w:customStyle="1" w:styleId="extended-textfull">
    <w:name w:val="extended-text__full"/>
    <w:basedOn w:val="a0"/>
  </w:style>
  <w:style w:type="character" w:customStyle="1" w:styleId="af1">
    <w:name w:val="Верхний колонтитул Знак"/>
    <w:basedOn w:val="a0"/>
  </w:style>
  <w:style w:type="character" w:customStyle="1" w:styleId="af2">
    <w:name w:val="Нижний колонтитул Знак"/>
    <w:basedOn w:val="a0"/>
  </w:style>
  <w:style w:type="character" w:customStyle="1" w:styleId="extendedtext-short">
    <w:name w:val="extendedtext-short"/>
    <w:basedOn w:val="a0"/>
  </w:style>
  <w:style w:type="character" w:customStyle="1" w:styleId="13">
    <w:name w:val="Заголовок 1 Знак"/>
    <w:basedOn w:val="a0"/>
    <w:rPr>
      <w:rFonts w:ascii="Times New Roman" w:eastAsia="Cambria" w:hAnsi="Times New Roman" w:cs="Cambria"/>
      <w:b/>
      <w:bCs/>
      <w:sz w:val="28"/>
      <w:szCs w:val="28"/>
    </w:rPr>
  </w:style>
  <w:style w:type="character" w:customStyle="1" w:styleId="af3">
    <w:name w:val="Название Знак"/>
    <w:basedOn w:val="a0"/>
    <w:rPr>
      <w:rFonts w:ascii="Times New Roman" w:eastAsia="Cambria" w:hAnsi="Times New Roman" w:cs="Cambria"/>
      <w:b/>
      <w:spacing w:val="5"/>
      <w:kern w:val="1"/>
      <w:sz w:val="28"/>
      <w:szCs w:val="52"/>
    </w:rPr>
  </w:style>
  <w:style w:type="character" w:customStyle="1" w:styleId="af4">
    <w:name w:val="Подзаголовок Знак"/>
    <w:basedOn w:val="a0"/>
    <w:rPr>
      <w:rFonts w:ascii="Times New Roman" w:eastAsia="Cambria" w:hAnsi="Times New Roman" w:cs="Cambria"/>
      <w:b/>
      <w:iCs/>
      <w:color w:val="000000"/>
      <w:spacing w:val="15"/>
      <w:sz w:val="28"/>
      <w:szCs w:val="24"/>
    </w:rPr>
  </w:style>
  <w:style w:type="character" w:styleId="af5">
    <w:name w:val="Subtle Emphasis"/>
    <w:basedOn w:val="a0"/>
    <w:rPr>
      <w:i/>
      <w:iCs/>
      <w:color w:val="808080"/>
    </w:rPr>
  </w:style>
  <w:style w:type="table" w:styleId="af6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5108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О.В.</dc:creator>
  <cp:keywords/>
  <dc:description/>
  <cp:lastModifiedBy>СисАдмин1</cp:lastModifiedBy>
  <cp:revision>2</cp:revision>
  <cp:lastPrinted>2023-01-31T04:24:00Z</cp:lastPrinted>
  <dcterms:created xsi:type="dcterms:W3CDTF">2026-03-31T07:03:00Z</dcterms:created>
  <dcterms:modified xsi:type="dcterms:W3CDTF">2026-03-31T07:03:00Z</dcterms:modified>
</cp:coreProperties>
</file>